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709BF" w14:textId="4E55ACCC" w:rsidR="00545CDD" w:rsidRDefault="004B3FB9" w:rsidP="00545CDD">
      <w:pPr>
        <w:pStyle w:val="Heading1"/>
        <w:pBdr>
          <w:bottom w:val="single" w:sz="6" w:space="1" w:color="auto"/>
        </w:pBdr>
      </w:pPr>
      <w:bookmarkStart w:id="0" w:name="_GoBack"/>
      <w:bookmarkEnd w:id="0"/>
      <w:r>
        <w:t>Media Resources</w:t>
      </w:r>
      <w:r w:rsidR="00280450">
        <w:br/>
        <w:t>Annual Report FY 2014-2015</w:t>
      </w:r>
      <w:r w:rsidR="00545CDD">
        <w:t xml:space="preserve"> </w:t>
      </w:r>
    </w:p>
    <w:p w14:paraId="6521E91C" w14:textId="77777777" w:rsidR="00280450" w:rsidRDefault="00280450" w:rsidP="00280450">
      <w:pPr>
        <w:rPr>
          <w:rFonts w:cstheme="minorHAnsi"/>
          <w:bCs/>
        </w:rPr>
      </w:pPr>
    </w:p>
    <w:p w14:paraId="3F84CFBA" w14:textId="77777777" w:rsidR="00280450" w:rsidRDefault="00280450" w:rsidP="00280450">
      <w:pPr>
        <w:rPr>
          <w:rFonts w:cstheme="minorHAnsi"/>
          <w:bCs/>
        </w:rPr>
      </w:pPr>
      <w:r>
        <w:rPr>
          <w:rFonts w:cstheme="minorHAnsi"/>
          <w:bCs/>
        </w:rPr>
        <w:t xml:space="preserve">Highlights for Dean’s Report to Academic Affairs, covering these specific areas if applicable (please review </w:t>
      </w:r>
      <w:hyperlink r:id="rId6" w:history="1">
        <w:r w:rsidRPr="00C26E40">
          <w:rPr>
            <w:rStyle w:val="Hyperlink"/>
            <w:rFonts w:cstheme="minorHAnsi"/>
            <w:bCs/>
          </w:rPr>
          <w:t>JMU’s Strategic Plan</w:t>
        </w:r>
      </w:hyperlink>
      <w:r>
        <w:rPr>
          <w:rFonts w:cstheme="minorHAnsi"/>
          <w:bCs/>
        </w:rPr>
        <w:t xml:space="preserve"> for further information):</w:t>
      </w:r>
    </w:p>
    <w:p w14:paraId="58FB3931" w14:textId="77777777" w:rsidR="00280450" w:rsidRDefault="00280450" w:rsidP="00280450">
      <w:pPr>
        <w:rPr>
          <w:rFonts w:cstheme="minorHAnsi"/>
          <w:bCs/>
        </w:rPr>
      </w:pPr>
    </w:p>
    <w:p w14:paraId="625103C8" w14:textId="77777777" w:rsidR="00280450" w:rsidRPr="00280450" w:rsidRDefault="00280450" w:rsidP="00280450">
      <w:pPr>
        <w:numPr>
          <w:ilvl w:val="0"/>
          <w:numId w:val="7"/>
        </w:numPr>
        <w:rPr>
          <w:bCs/>
        </w:rPr>
      </w:pPr>
      <w:r w:rsidRPr="00280450">
        <w:rPr>
          <w:bCs/>
        </w:rPr>
        <w:t xml:space="preserve">Quality Programs (i.e., Academic </w:t>
      </w:r>
      <w:proofErr w:type="gramStart"/>
      <w:r w:rsidRPr="00280450">
        <w:rPr>
          <w:bCs/>
        </w:rPr>
        <w:t>and  Other</w:t>
      </w:r>
      <w:proofErr w:type="gramEnd"/>
      <w:r w:rsidRPr="00280450">
        <w:rPr>
          <w:bCs/>
        </w:rPr>
        <w:t xml:space="preserve"> Programs)</w:t>
      </w:r>
    </w:p>
    <w:p w14:paraId="590AFB07" w14:textId="77777777" w:rsidR="00280450" w:rsidRPr="00280450" w:rsidRDefault="00280450" w:rsidP="00280450">
      <w:pPr>
        <w:numPr>
          <w:ilvl w:val="1"/>
          <w:numId w:val="7"/>
        </w:numPr>
        <w:rPr>
          <w:bCs/>
        </w:rPr>
      </w:pPr>
      <w:proofErr w:type="spellStart"/>
      <w:r w:rsidRPr="00280450">
        <w:rPr>
          <w:bCs/>
        </w:rPr>
        <w:t>MadLab</w:t>
      </w:r>
      <w:proofErr w:type="spellEnd"/>
      <w:r w:rsidRPr="00280450">
        <w:rPr>
          <w:bCs/>
        </w:rPr>
        <w:t xml:space="preserve">- In the Fall of 2014 Media Resources launched the </w:t>
      </w:r>
      <w:proofErr w:type="spellStart"/>
      <w:r w:rsidRPr="00280450">
        <w:rPr>
          <w:bCs/>
        </w:rPr>
        <w:t>MadLab</w:t>
      </w:r>
      <w:proofErr w:type="spellEnd"/>
      <w:r w:rsidRPr="00280450">
        <w:rPr>
          <w:bCs/>
        </w:rPr>
        <w:t xml:space="preserve"> program, which provides instruction to students in the use of various media production tools.  Courses have included iMovie and Photoshop tutorials, using DSLRs for filmmaking, using Media Resources equipment, creating professional </w:t>
      </w:r>
      <w:proofErr w:type="gramStart"/>
      <w:r w:rsidRPr="00280450">
        <w:rPr>
          <w:bCs/>
        </w:rPr>
        <w:t>head shots</w:t>
      </w:r>
      <w:proofErr w:type="gramEnd"/>
      <w:r w:rsidRPr="00280450">
        <w:rPr>
          <w:bCs/>
        </w:rPr>
        <w:t>, digital portfolio creation, and more.  The program has received very positive attention and feedback from both faculty and students.  This specifically engages quality programs through supporting faculty in their desire to give innovative assignments that prepare students for careers that require media fluency.  As more and more faculty and programs move in this direction the need for this type of support will increase.</w:t>
      </w:r>
    </w:p>
    <w:p w14:paraId="154D208D" w14:textId="77777777" w:rsidR="00280450" w:rsidRPr="00280450" w:rsidRDefault="00280450" w:rsidP="00280450">
      <w:pPr>
        <w:numPr>
          <w:ilvl w:val="1"/>
          <w:numId w:val="7"/>
        </w:numPr>
        <w:rPr>
          <w:bCs/>
        </w:rPr>
      </w:pPr>
      <w:r w:rsidRPr="00280450">
        <w:rPr>
          <w:bCs/>
        </w:rPr>
        <w:t xml:space="preserve">Equipment Circulation- Media Resources circulates a diverse variety of high quality equipment to support students and faculty in media creation.  Equipment includes DSLR cameras, dual memory video camera, sound recording equipment, </w:t>
      </w:r>
      <w:proofErr w:type="spellStart"/>
      <w:r w:rsidRPr="00280450">
        <w:rPr>
          <w:bCs/>
        </w:rPr>
        <w:t>GoPro</w:t>
      </w:r>
      <w:proofErr w:type="spellEnd"/>
      <w:r w:rsidRPr="00280450">
        <w:rPr>
          <w:bCs/>
        </w:rPr>
        <w:t xml:space="preserve"> Cameras, tripods and light kits, smart phone video creation kits, laptops, projectors, PA </w:t>
      </w:r>
      <w:proofErr w:type="spellStart"/>
      <w:r w:rsidRPr="00280450">
        <w:rPr>
          <w:bCs/>
        </w:rPr>
        <w:t>sytems</w:t>
      </w:r>
      <w:proofErr w:type="spellEnd"/>
      <w:r w:rsidRPr="00280450">
        <w:rPr>
          <w:bCs/>
        </w:rPr>
        <w:t>, microphones and more.  As more and more assignments focus on media creation students and faculty need access to appropriate tools.  This support of media creation makes the teaching of innovative classes possible.</w:t>
      </w:r>
    </w:p>
    <w:p w14:paraId="4AE66F01" w14:textId="77777777" w:rsidR="00280450" w:rsidRPr="00280450" w:rsidRDefault="00280450" w:rsidP="00280450">
      <w:pPr>
        <w:numPr>
          <w:ilvl w:val="1"/>
          <w:numId w:val="7"/>
        </w:numPr>
        <w:rPr>
          <w:bCs/>
        </w:rPr>
      </w:pPr>
      <w:r w:rsidRPr="00280450">
        <w:rPr>
          <w:bCs/>
        </w:rPr>
        <w:t xml:space="preserve">Media Lab- Media Resources provides a </w:t>
      </w:r>
      <w:proofErr w:type="gramStart"/>
      <w:r w:rsidRPr="00280450">
        <w:rPr>
          <w:bCs/>
        </w:rPr>
        <w:t>10 station</w:t>
      </w:r>
      <w:proofErr w:type="gramEnd"/>
      <w:r w:rsidRPr="00280450">
        <w:rPr>
          <w:bCs/>
        </w:rPr>
        <w:t xml:space="preserve"> media creation lab for the JMU community.  Software available includes the Adobe suite, iMovie, Garage Band, Toast and more.  As more and more assignments focus on media creation students and faculty need access to appropriate tools.  This support of media creation makes the teaching of innovative classes possible.</w:t>
      </w:r>
    </w:p>
    <w:p w14:paraId="053D5288" w14:textId="77777777" w:rsidR="00280450" w:rsidRPr="00280450" w:rsidRDefault="00280450" w:rsidP="00280450">
      <w:pPr>
        <w:numPr>
          <w:ilvl w:val="1"/>
          <w:numId w:val="7"/>
        </w:numPr>
        <w:rPr>
          <w:bCs/>
        </w:rPr>
      </w:pPr>
      <w:r w:rsidRPr="00280450">
        <w:rPr>
          <w:bCs/>
        </w:rPr>
        <w:t>Media Collection- Media Resources provides access to a diverse, high quality, high circulating collection of film titles in both streaming and physical formats.  The Libraries’ ability to provide access to this material makes the use of video in pedagogy possible.</w:t>
      </w:r>
    </w:p>
    <w:p w14:paraId="1C93E4BB" w14:textId="77777777" w:rsidR="00280450" w:rsidRPr="00280450" w:rsidRDefault="00280450" w:rsidP="00280450">
      <w:pPr>
        <w:numPr>
          <w:ilvl w:val="0"/>
          <w:numId w:val="7"/>
        </w:numPr>
        <w:rPr>
          <w:bCs/>
        </w:rPr>
      </w:pPr>
      <w:r w:rsidRPr="00280450">
        <w:rPr>
          <w:bCs/>
        </w:rPr>
        <w:lastRenderedPageBreak/>
        <w:t>Madison Collaborative</w:t>
      </w:r>
    </w:p>
    <w:p w14:paraId="70BA8BAF" w14:textId="77777777" w:rsidR="00280450" w:rsidRPr="00280450" w:rsidRDefault="00280450" w:rsidP="00280450">
      <w:pPr>
        <w:numPr>
          <w:ilvl w:val="0"/>
          <w:numId w:val="7"/>
        </w:numPr>
        <w:rPr>
          <w:bCs/>
        </w:rPr>
      </w:pPr>
      <w:r w:rsidRPr="00280450">
        <w:rPr>
          <w:bCs/>
        </w:rPr>
        <w:t>Vision/Engagement (i.e., JMU’s Model of the Engaged University)</w:t>
      </w:r>
    </w:p>
    <w:p w14:paraId="3F8DA9CB" w14:textId="77777777" w:rsidR="00280450" w:rsidRPr="00280450" w:rsidRDefault="00280450" w:rsidP="00280450">
      <w:pPr>
        <w:numPr>
          <w:ilvl w:val="1"/>
          <w:numId w:val="7"/>
        </w:numPr>
        <w:rPr>
          <w:bCs/>
        </w:rPr>
      </w:pPr>
      <w:r w:rsidRPr="00280450">
        <w:rPr>
          <w:bCs/>
        </w:rPr>
        <w:t>VAAMPS- The Director of Media Resources participates in an innovative collaboration between Media Librarians across the state.  The group is currently working on collaborative collecting and preservation strategies.</w:t>
      </w:r>
    </w:p>
    <w:p w14:paraId="38B795E8" w14:textId="77777777" w:rsidR="00280450" w:rsidRPr="00280450" w:rsidRDefault="00280450" w:rsidP="00280450">
      <w:pPr>
        <w:numPr>
          <w:ilvl w:val="1"/>
          <w:numId w:val="7"/>
        </w:numPr>
        <w:rPr>
          <w:bCs/>
        </w:rPr>
      </w:pPr>
      <w:r w:rsidRPr="00280450">
        <w:rPr>
          <w:bCs/>
        </w:rPr>
        <w:t>Community patrons- Media Resources provides access to the video collection to Harrisonburg community members, as well as students and faculty at VIVA member institutions</w:t>
      </w:r>
    </w:p>
    <w:p w14:paraId="75FEB1DB" w14:textId="77777777" w:rsidR="00280450" w:rsidRPr="00280450" w:rsidRDefault="00280450" w:rsidP="00280450">
      <w:pPr>
        <w:numPr>
          <w:ilvl w:val="0"/>
          <w:numId w:val="7"/>
        </w:numPr>
        <w:rPr>
          <w:bCs/>
        </w:rPr>
      </w:pPr>
      <w:r w:rsidRPr="00280450">
        <w:rPr>
          <w:bCs/>
        </w:rPr>
        <w:t>Diversity</w:t>
      </w:r>
    </w:p>
    <w:p w14:paraId="46FA10D3" w14:textId="77777777" w:rsidR="00280450" w:rsidRPr="00280450" w:rsidRDefault="00280450" w:rsidP="00280450">
      <w:pPr>
        <w:numPr>
          <w:ilvl w:val="1"/>
          <w:numId w:val="7"/>
        </w:numPr>
        <w:rPr>
          <w:bCs/>
        </w:rPr>
      </w:pPr>
      <w:r w:rsidRPr="00280450">
        <w:rPr>
          <w:bCs/>
        </w:rPr>
        <w:t>Video Collection-The Media Resources video collection has a large representation of international film, film by minority and women filmmakers, and documentary film representing a variety of distinct people and culture.  Recent acquisitions have included expansions to our holding in film from Arab countries and Indian Cinema.</w:t>
      </w:r>
    </w:p>
    <w:p w14:paraId="026448A5" w14:textId="77777777" w:rsidR="00280450" w:rsidRPr="00280450" w:rsidRDefault="00280450" w:rsidP="00280450">
      <w:pPr>
        <w:numPr>
          <w:ilvl w:val="1"/>
          <w:numId w:val="7"/>
        </w:numPr>
        <w:rPr>
          <w:bCs/>
        </w:rPr>
      </w:pPr>
      <w:proofErr w:type="spellStart"/>
      <w:r w:rsidRPr="00280450">
        <w:rPr>
          <w:bCs/>
        </w:rPr>
        <w:t>Cinemuse</w:t>
      </w:r>
      <w:proofErr w:type="spellEnd"/>
      <w:r w:rsidRPr="00280450">
        <w:rPr>
          <w:bCs/>
        </w:rPr>
        <w:t xml:space="preserve">- Brian Simmons is co-advisor to the </w:t>
      </w:r>
      <w:hyperlink r:id="rId7" w:history="1">
        <w:proofErr w:type="spellStart"/>
        <w:r w:rsidRPr="00280450">
          <w:rPr>
            <w:rStyle w:val="Hyperlink"/>
            <w:bCs/>
          </w:rPr>
          <w:t>Cinemuse</w:t>
        </w:r>
        <w:proofErr w:type="spellEnd"/>
      </w:hyperlink>
      <w:r w:rsidRPr="00280450">
        <w:rPr>
          <w:bCs/>
        </w:rPr>
        <w:t xml:space="preserve"> club.</w:t>
      </w:r>
    </w:p>
    <w:p w14:paraId="5C439B2F" w14:textId="77777777" w:rsidR="00280450" w:rsidRPr="00280450" w:rsidRDefault="00280450" w:rsidP="00280450">
      <w:pPr>
        <w:numPr>
          <w:ilvl w:val="0"/>
          <w:numId w:val="7"/>
        </w:numPr>
        <w:rPr>
          <w:bCs/>
        </w:rPr>
      </w:pPr>
      <w:r w:rsidRPr="00280450">
        <w:rPr>
          <w:bCs/>
        </w:rPr>
        <w:t>Efficiencies</w:t>
      </w:r>
    </w:p>
    <w:p w14:paraId="28A55197" w14:textId="77777777" w:rsidR="00280450" w:rsidRPr="00280450" w:rsidRDefault="00280450" w:rsidP="00280450">
      <w:pPr>
        <w:numPr>
          <w:ilvl w:val="0"/>
          <w:numId w:val="7"/>
        </w:numPr>
        <w:rPr>
          <w:bCs/>
        </w:rPr>
      </w:pPr>
      <w:r w:rsidRPr="00280450">
        <w:rPr>
          <w:bCs/>
        </w:rPr>
        <w:t>Recognitions &amp; Accomplishments</w:t>
      </w:r>
    </w:p>
    <w:p w14:paraId="6937CD78" w14:textId="77777777" w:rsidR="00280450" w:rsidRPr="00280450" w:rsidRDefault="00280450" w:rsidP="00280450">
      <w:pPr>
        <w:numPr>
          <w:ilvl w:val="1"/>
          <w:numId w:val="7"/>
        </w:numPr>
        <w:rPr>
          <w:bCs/>
        </w:rPr>
      </w:pPr>
      <w:r w:rsidRPr="00280450">
        <w:rPr>
          <w:bCs/>
        </w:rPr>
        <w:t>Student Employees-</w:t>
      </w:r>
      <w:r w:rsidRPr="00280450">
        <w:t xml:space="preserve"> </w:t>
      </w:r>
      <w:r w:rsidRPr="00280450">
        <w:rPr>
          <w:bCs/>
        </w:rPr>
        <w:t>Student employee projects (for course work, but produced in part with MRC equipment and support)</w:t>
      </w:r>
    </w:p>
    <w:p w14:paraId="1CD2569A" w14:textId="77777777" w:rsidR="00280450" w:rsidRPr="00280450" w:rsidRDefault="0067402C" w:rsidP="00280450">
      <w:pPr>
        <w:numPr>
          <w:ilvl w:val="2"/>
          <w:numId w:val="7"/>
        </w:numPr>
        <w:rPr>
          <w:bCs/>
        </w:rPr>
      </w:pPr>
      <w:hyperlink r:id="rId8" w:history="1">
        <w:r w:rsidR="00280450" w:rsidRPr="00280450">
          <w:rPr>
            <w:rStyle w:val="Hyperlink"/>
            <w:bCs/>
          </w:rPr>
          <w:t>Marlene McDonald “Won’t Pipe Down” Documentary</w:t>
        </w:r>
      </w:hyperlink>
      <w:r w:rsidR="00280450" w:rsidRPr="00280450">
        <w:rPr>
          <w:bCs/>
        </w:rPr>
        <w:t xml:space="preserve"> (shown at local theater)</w:t>
      </w:r>
    </w:p>
    <w:p w14:paraId="4C511BE6" w14:textId="77777777" w:rsidR="00280450" w:rsidRPr="00280450" w:rsidRDefault="00280450" w:rsidP="00280450">
      <w:pPr>
        <w:numPr>
          <w:ilvl w:val="2"/>
          <w:numId w:val="7"/>
        </w:numPr>
        <w:rPr>
          <w:bCs/>
        </w:rPr>
      </w:pPr>
      <w:r w:rsidRPr="00280450">
        <w:rPr>
          <w:bCs/>
        </w:rPr>
        <w:t xml:space="preserve">“Harrisonburg’s Finest Printer Museum” </w:t>
      </w:r>
      <w:proofErr w:type="spellStart"/>
      <w:r w:rsidRPr="00280450">
        <w:rPr>
          <w:bCs/>
        </w:rPr>
        <w:t>mocumentary</w:t>
      </w:r>
      <w:proofErr w:type="spellEnd"/>
      <w:r w:rsidRPr="00280450">
        <w:rPr>
          <w:bCs/>
        </w:rPr>
        <w:t xml:space="preserve"> and article in JMU’s “Port and Main” (Amelia Walters, Tyler </w:t>
      </w:r>
      <w:proofErr w:type="spellStart"/>
      <w:r w:rsidRPr="00280450">
        <w:rPr>
          <w:bCs/>
        </w:rPr>
        <w:t>Bisson</w:t>
      </w:r>
      <w:proofErr w:type="spellEnd"/>
      <w:r w:rsidRPr="00280450">
        <w:rPr>
          <w:bCs/>
        </w:rPr>
        <w:t xml:space="preserve">, Nick Saunders, Gina </w:t>
      </w:r>
      <w:proofErr w:type="spellStart"/>
      <w:r w:rsidRPr="00280450">
        <w:rPr>
          <w:bCs/>
        </w:rPr>
        <w:t>Gatti</w:t>
      </w:r>
      <w:proofErr w:type="spellEnd"/>
      <w:r w:rsidRPr="00280450">
        <w:rPr>
          <w:bCs/>
        </w:rPr>
        <w:t>, Marley McDonald)</w:t>
      </w:r>
    </w:p>
    <w:p w14:paraId="5EA82B1B" w14:textId="77777777" w:rsidR="00280450" w:rsidRPr="00280450" w:rsidRDefault="00280450" w:rsidP="00280450">
      <w:pPr>
        <w:numPr>
          <w:ilvl w:val="2"/>
          <w:numId w:val="7"/>
        </w:numPr>
        <w:rPr>
          <w:bCs/>
        </w:rPr>
      </w:pPr>
      <w:r w:rsidRPr="00280450">
        <w:rPr>
          <w:bCs/>
        </w:rPr>
        <w:t>Staff members involved with 2015 Reel Change film festival, showing activist documentaries, facilitating panel discussions, and hosting a benefit with proceeds supporting an orphanage featured in one of the films.</w:t>
      </w:r>
      <w:r w:rsidRPr="00280450">
        <w:rPr>
          <w:bCs/>
        </w:rPr>
        <w:tab/>
      </w:r>
    </w:p>
    <w:p w14:paraId="748AA1DE" w14:textId="77777777" w:rsidR="00280450" w:rsidRPr="00280450" w:rsidRDefault="00280450" w:rsidP="00280450">
      <w:pPr>
        <w:numPr>
          <w:ilvl w:val="1"/>
          <w:numId w:val="7"/>
        </w:numPr>
        <w:rPr>
          <w:bCs/>
        </w:rPr>
      </w:pPr>
      <w:r w:rsidRPr="00280450">
        <w:rPr>
          <w:bCs/>
        </w:rPr>
        <w:t xml:space="preserve">Book- </w:t>
      </w:r>
      <w:r w:rsidRPr="00280450">
        <w:rPr>
          <w:bCs/>
          <w:iCs/>
        </w:rPr>
        <w:t>Duncan, Cheryl J., and Erika Day Peterson.</w:t>
      </w:r>
      <w:r w:rsidRPr="00280450">
        <w:rPr>
          <w:bCs/>
          <w:i/>
          <w:iCs/>
        </w:rPr>
        <w:t xml:space="preserve"> Creating a Streaming Video Collection for Your Library. </w:t>
      </w:r>
      <w:r w:rsidRPr="00280450">
        <w:rPr>
          <w:bCs/>
          <w:iCs/>
        </w:rPr>
        <w:t xml:space="preserve">Lanham, MD: </w:t>
      </w:r>
      <w:proofErr w:type="spellStart"/>
      <w:r w:rsidRPr="00280450">
        <w:rPr>
          <w:bCs/>
          <w:iCs/>
        </w:rPr>
        <w:t>Rowman</w:t>
      </w:r>
      <w:proofErr w:type="spellEnd"/>
      <w:r w:rsidRPr="00280450">
        <w:rPr>
          <w:bCs/>
          <w:iCs/>
        </w:rPr>
        <w:t xml:space="preserve"> &amp; Littlefield, 2014</w:t>
      </w:r>
      <w:r w:rsidRPr="00280450">
        <w:rPr>
          <w:bCs/>
          <w:i/>
          <w:iCs/>
        </w:rPr>
        <w:t>.</w:t>
      </w:r>
    </w:p>
    <w:p w14:paraId="0570B38B" w14:textId="77777777" w:rsidR="00280450" w:rsidRPr="00280450" w:rsidRDefault="00280450" w:rsidP="00280450">
      <w:pPr>
        <w:numPr>
          <w:ilvl w:val="0"/>
          <w:numId w:val="7"/>
        </w:numPr>
        <w:rPr>
          <w:bCs/>
        </w:rPr>
      </w:pPr>
      <w:r w:rsidRPr="00280450">
        <w:rPr>
          <w:bCs/>
        </w:rPr>
        <w:t>Other</w:t>
      </w:r>
    </w:p>
    <w:p w14:paraId="4FA49291" w14:textId="77777777" w:rsidR="00280450" w:rsidRPr="00280450" w:rsidRDefault="00280450" w:rsidP="00280450">
      <w:pPr>
        <w:numPr>
          <w:ilvl w:val="0"/>
          <w:numId w:val="7"/>
        </w:numPr>
        <w:rPr>
          <w:bCs/>
        </w:rPr>
      </w:pPr>
      <w:r w:rsidRPr="00280450">
        <w:rPr>
          <w:bCs/>
        </w:rPr>
        <w:t>Comprehensive Campaign/Funding</w:t>
      </w:r>
    </w:p>
    <w:p w14:paraId="4E2B6E54" w14:textId="7E17B7AA" w:rsidR="00280450" w:rsidRPr="00280450" w:rsidRDefault="00280450" w:rsidP="00280450">
      <w:pPr>
        <w:ind w:left="720"/>
      </w:pPr>
    </w:p>
    <w:p w14:paraId="7AEDF592" w14:textId="77777777" w:rsidR="00280450" w:rsidRDefault="00280450" w:rsidP="00280450"/>
    <w:p w14:paraId="15F2E47E" w14:textId="77777777" w:rsidR="00280450" w:rsidRDefault="00280450" w:rsidP="00545CDD">
      <w:pPr>
        <w:pStyle w:val="Heading2"/>
      </w:pPr>
    </w:p>
    <w:p w14:paraId="152E09C9" w14:textId="2D959A2C" w:rsidR="002737E9" w:rsidRDefault="004B3FB9" w:rsidP="00545CDD">
      <w:pPr>
        <w:pStyle w:val="Heading2"/>
      </w:pPr>
      <w:r>
        <w:t>Executive Summary</w:t>
      </w:r>
      <w:r w:rsidR="00545CDD">
        <w:t>:</w:t>
      </w:r>
    </w:p>
    <w:p w14:paraId="6122FD29" w14:textId="1656F35A" w:rsidR="008C13FF" w:rsidRDefault="001B1703" w:rsidP="001B1703">
      <w:r>
        <w:t xml:space="preserve">This year was one of both steady growth and innovation in Media Resources.  Our media collection continues to develop and adapt to changes in user needs and instruction.  While we saw a slight decline in circulation, it was not as significant as that experienced by other service points.  </w:t>
      </w:r>
    </w:p>
    <w:p w14:paraId="20C274ED" w14:textId="77777777" w:rsidR="008C13FF" w:rsidRDefault="008C13FF" w:rsidP="001B1703"/>
    <w:p w14:paraId="5F0C6889" w14:textId="499EBAD7" w:rsidR="008C13FF" w:rsidRDefault="008C13FF" w:rsidP="001B1703">
      <w:r>
        <w:t>Equipment circulation continues to grow.  New equipment added this year focused on enhancing the functionality of our existing equipment.  Debbie saw a large increase in reservations and repairs.</w:t>
      </w:r>
    </w:p>
    <w:p w14:paraId="30DA814A" w14:textId="77777777" w:rsidR="008C13FF" w:rsidRDefault="008C13FF" w:rsidP="001B1703"/>
    <w:p w14:paraId="6972A477" w14:textId="535BD51E" w:rsidR="008C13FF" w:rsidRDefault="008C13FF" w:rsidP="001B1703">
      <w:r>
        <w:t xml:space="preserve">Media Resources piloted an exciting new program this year, called </w:t>
      </w:r>
      <w:proofErr w:type="spellStart"/>
      <w:r>
        <w:t>MadLab</w:t>
      </w:r>
      <w:proofErr w:type="spellEnd"/>
      <w:r>
        <w:t xml:space="preserve">.  </w:t>
      </w:r>
      <w:proofErr w:type="spellStart"/>
      <w:r>
        <w:t>Madlab</w:t>
      </w:r>
      <w:proofErr w:type="spellEnd"/>
      <w:r>
        <w:t xml:space="preserve"> is a </w:t>
      </w:r>
      <w:proofErr w:type="gramStart"/>
      <w:r>
        <w:t>peer tutoring</w:t>
      </w:r>
      <w:proofErr w:type="gramEnd"/>
      <w:r>
        <w:t xml:space="preserve"> program focused on media creation.  We have also been able to expand our individual consultation services with </w:t>
      </w:r>
      <w:proofErr w:type="spellStart"/>
      <w:r>
        <w:t>MadLab</w:t>
      </w:r>
      <w:proofErr w:type="spellEnd"/>
      <w:r>
        <w:t xml:space="preserve"> students.</w:t>
      </w:r>
    </w:p>
    <w:p w14:paraId="0C9D647F" w14:textId="77777777" w:rsidR="008C13FF" w:rsidRDefault="008C13FF" w:rsidP="001B1703"/>
    <w:p w14:paraId="0D251011" w14:textId="13A9F5E7" w:rsidR="008C13FF" w:rsidRDefault="008C13FF" w:rsidP="001B1703">
      <w:r>
        <w:t>We underwent a significant space reorganization, which created to separate zones in the department, one focused on the media collection and the other on media creation.</w:t>
      </w:r>
    </w:p>
    <w:p w14:paraId="6E1C6BAE" w14:textId="77777777" w:rsidR="008C13FF" w:rsidRDefault="008C13FF" w:rsidP="001B1703"/>
    <w:p w14:paraId="050BB0C0" w14:textId="71245847" w:rsidR="008C13FF" w:rsidRDefault="008C13FF" w:rsidP="001B1703">
      <w:r>
        <w:t xml:space="preserve">Sadly, longtime employee, Judy </w:t>
      </w:r>
      <w:proofErr w:type="spellStart"/>
      <w:r>
        <w:t>Hinegardner</w:t>
      </w:r>
      <w:proofErr w:type="spellEnd"/>
      <w:r>
        <w:t xml:space="preserve">, retired this </w:t>
      </w:r>
      <w:proofErr w:type="gramStart"/>
      <w:r>
        <w:t>Spring</w:t>
      </w:r>
      <w:proofErr w:type="gramEnd"/>
      <w:r>
        <w:t>.  This has left a big hole in our department both personally and professionally.</w:t>
      </w:r>
    </w:p>
    <w:p w14:paraId="7A4B50D1" w14:textId="5D611F8B" w:rsidR="008C13FF" w:rsidRDefault="008C13FF" w:rsidP="001B1703">
      <w:r>
        <w:tab/>
      </w:r>
    </w:p>
    <w:p w14:paraId="36686114" w14:textId="17528BEB" w:rsidR="008C13FF" w:rsidRDefault="006E43CD" w:rsidP="006E43CD">
      <w:pPr>
        <w:pStyle w:val="Heading3"/>
      </w:pPr>
      <w:r>
        <w:tab/>
        <w:t>Milestones:</w:t>
      </w:r>
    </w:p>
    <w:p w14:paraId="4D42D0D6" w14:textId="1F78BEF4" w:rsidR="006E43CD" w:rsidRDefault="006E43CD" w:rsidP="006E43CD">
      <w:pPr>
        <w:pStyle w:val="ListParagraph"/>
        <w:numPr>
          <w:ilvl w:val="0"/>
          <w:numId w:val="11"/>
        </w:numPr>
      </w:pPr>
      <w:r>
        <w:t xml:space="preserve">Piloted </w:t>
      </w:r>
      <w:proofErr w:type="spellStart"/>
      <w:r>
        <w:t>Madlab</w:t>
      </w:r>
      <w:proofErr w:type="spellEnd"/>
      <w:r>
        <w:t xml:space="preserve"> peer instruction program</w:t>
      </w:r>
    </w:p>
    <w:p w14:paraId="13192E64" w14:textId="6B470E5B" w:rsidR="006E43CD" w:rsidRDefault="006E43CD" w:rsidP="006E43CD">
      <w:pPr>
        <w:pStyle w:val="ListParagraph"/>
        <w:numPr>
          <w:ilvl w:val="0"/>
          <w:numId w:val="11"/>
        </w:numPr>
      </w:pPr>
      <w:r>
        <w:t xml:space="preserve">Judy </w:t>
      </w:r>
      <w:proofErr w:type="spellStart"/>
      <w:r>
        <w:t>Hinegardener</w:t>
      </w:r>
      <w:proofErr w:type="spellEnd"/>
      <w:r>
        <w:t xml:space="preserve"> retired</w:t>
      </w:r>
    </w:p>
    <w:p w14:paraId="76425F18" w14:textId="1FFEB5F7" w:rsidR="006E43CD" w:rsidRPr="006E43CD" w:rsidRDefault="006E43CD" w:rsidP="006E43CD">
      <w:pPr>
        <w:pStyle w:val="ListParagraph"/>
        <w:numPr>
          <w:ilvl w:val="0"/>
          <w:numId w:val="11"/>
        </w:numPr>
      </w:pPr>
      <w:r>
        <w:t>Space remodel</w:t>
      </w:r>
    </w:p>
    <w:p w14:paraId="1A5B890B" w14:textId="77777777" w:rsidR="008C13FF" w:rsidRDefault="008C13FF" w:rsidP="001B1703"/>
    <w:p w14:paraId="44A5182E" w14:textId="77777777" w:rsidR="008C13FF" w:rsidRPr="001B1703" w:rsidRDefault="008C13FF" w:rsidP="001B1703"/>
    <w:p w14:paraId="3C9322FF" w14:textId="77777777" w:rsidR="004B3FB9" w:rsidRDefault="004B3FB9" w:rsidP="00545CDD">
      <w:pPr>
        <w:pStyle w:val="Heading2"/>
      </w:pPr>
      <w:r>
        <w:t>Spaces:</w:t>
      </w:r>
    </w:p>
    <w:p w14:paraId="73B26B72" w14:textId="2A44D2E1" w:rsidR="004B3FB9" w:rsidRDefault="002737E9" w:rsidP="00545CDD">
      <w:r>
        <w:t xml:space="preserve">Media Resources implemented a significant space redesign to highlight the distinct services we offer.  We reversed the location of the viewing carrels and media production lab to create two distinct zones in the center.  This also allowed for better placement of the Media Resources help desk.  </w:t>
      </w:r>
      <w:r w:rsidR="00D56AE4">
        <w:t>In addition to this redesign we added a new media production collaboration station and soft seating areas.  These changes were made over the summer, and the</w:t>
      </w:r>
      <w:r w:rsidR="006E43CD">
        <w:t>ir</w:t>
      </w:r>
      <w:r w:rsidR="00D56AE4">
        <w:t xml:space="preserve"> impact on services in Media Resources will be observed in the coming year. </w:t>
      </w:r>
    </w:p>
    <w:p w14:paraId="1ED0FA50" w14:textId="77777777" w:rsidR="004B3FB9" w:rsidRDefault="004B3FB9" w:rsidP="00545CDD">
      <w:pPr>
        <w:pStyle w:val="Heading2"/>
      </w:pPr>
      <w:r>
        <w:t>Resources:</w:t>
      </w:r>
    </w:p>
    <w:p w14:paraId="521F9951" w14:textId="77777777" w:rsidR="00204AD4" w:rsidRDefault="00DE3591" w:rsidP="00204AD4">
      <w:pPr>
        <w:pStyle w:val="Heading3"/>
      </w:pPr>
      <w:r w:rsidRPr="00DE3591">
        <w:t xml:space="preserve">OVC:  </w:t>
      </w:r>
    </w:p>
    <w:p w14:paraId="32FAEA34" w14:textId="0A9BD47E" w:rsidR="00BE40D5" w:rsidRPr="00BE40D5" w:rsidRDefault="00BE40D5" w:rsidP="00BE40D5">
      <w:r>
        <w:t>Eleven new titles were added to the OVC this year:</w:t>
      </w:r>
    </w:p>
    <w:tbl>
      <w:tblPr>
        <w:tblW w:w="13000" w:type="dxa"/>
        <w:tblBorders>
          <w:top w:val="nil"/>
          <w:left w:val="nil"/>
          <w:right w:val="nil"/>
        </w:tblBorders>
        <w:tblLayout w:type="fixed"/>
        <w:tblLook w:val="0000" w:firstRow="0" w:lastRow="0" w:firstColumn="0" w:lastColumn="0" w:noHBand="0" w:noVBand="0"/>
      </w:tblPr>
      <w:tblGrid>
        <w:gridCol w:w="13000"/>
      </w:tblGrid>
      <w:tr w:rsidR="00BE40D5" w:rsidRPr="00BE40D5" w14:paraId="5A8E0A97" w14:textId="77777777">
        <w:tc>
          <w:tcPr>
            <w:tcW w:w="12960" w:type="dxa"/>
            <w:tcMar>
              <w:top w:w="20" w:type="nil"/>
              <w:left w:w="20" w:type="nil"/>
              <w:right w:w="20" w:type="nil"/>
            </w:tcMar>
            <w:vAlign w:val="bottom"/>
          </w:tcPr>
          <w:p w14:paraId="17339368" w14:textId="77777777" w:rsidR="00BE40D5" w:rsidRDefault="00BE40D5" w:rsidP="00BE40D5">
            <w:pPr>
              <w:rPr>
                <w:u w:val="single"/>
              </w:rPr>
            </w:pPr>
          </w:p>
          <w:p w14:paraId="5EF7914C" w14:textId="77777777" w:rsidR="00BE40D5" w:rsidRPr="00BE40D5" w:rsidRDefault="00BE40D5" w:rsidP="00BE40D5">
            <w:pPr>
              <w:rPr>
                <w:u w:val="single"/>
              </w:rPr>
            </w:pPr>
            <w:r w:rsidRPr="00BE40D5">
              <w:rPr>
                <w:u w:val="single"/>
              </w:rPr>
              <w:t>Baboon tales</w:t>
            </w:r>
          </w:p>
        </w:tc>
      </w:tr>
      <w:tr w:rsidR="00BE40D5" w:rsidRPr="00BE40D5" w14:paraId="2C24FB43" w14:textId="77777777">
        <w:tblPrEx>
          <w:tblBorders>
            <w:top w:val="none" w:sz="0" w:space="0" w:color="auto"/>
          </w:tblBorders>
        </w:tblPrEx>
        <w:tc>
          <w:tcPr>
            <w:tcW w:w="12960" w:type="dxa"/>
            <w:tcMar>
              <w:top w:w="20" w:type="nil"/>
              <w:left w:w="20" w:type="nil"/>
              <w:right w:w="20" w:type="nil"/>
            </w:tcMar>
            <w:vAlign w:val="bottom"/>
          </w:tcPr>
          <w:p w14:paraId="163937F9" w14:textId="77777777" w:rsidR="00BE40D5" w:rsidRPr="00BE40D5" w:rsidRDefault="00BE40D5" w:rsidP="00BE40D5">
            <w:pPr>
              <w:rPr>
                <w:u w:val="single"/>
              </w:rPr>
            </w:pPr>
            <w:proofErr w:type="spellStart"/>
            <w:proofErr w:type="gramStart"/>
            <w:r w:rsidRPr="00BE40D5">
              <w:rPr>
                <w:u w:val="single"/>
              </w:rPr>
              <w:t>Pornland</w:t>
            </w:r>
            <w:proofErr w:type="spellEnd"/>
            <w:r w:rsidRPr="00BE40D5">
              <w:rPr>
                <w:u w:val="single"/>
              </w:rPr>
              <w:t xml:space="preserve"> :</w:t>
            </w:r>
            <w:proofErr w:type="gramEnd"/>
            <w:r w:rsidRPr="00BE40D5">
              <w:rPr>
                <w:u w:val="single"/>
              </w:rPr>
              <w:t xml:space="preserve"> how the porn industry has hijacked our sexuality</w:t>
            </w:r>
          </w:p>
        </w:tc>
      </w:tr>
      <w:tr w:rsidR="00BE40D5" w:rsidRPr="00BE40D5" w14:paraId="12EDE4E3" w14:textId="77777777">
        <w:tblPrEx>
          <w:tblBorders>
            <w:top w:val="none" w:sz="0" w:space="0" w:color="auto"/>
          </w:tblBorders>
        </w:tblPrEx>
        <w:tc>
          <w:tcPr>
            <w:tcW w:w="12960" w:type="dxa"/>
            <w:tcMar>
              <w:top w:w="20" w:type="nil"/>
              <w:left w:w="20" w:type="nil"/>
              <w:right w:w="20" w:type="nil"/>
            </w:tcMar>
            <w:vAlign w:val="bottom"/>
          </w:tcPr>
          <w:p w14:paraId="21C80ED6" w14:textId="77777777" w:rsidR="00BE40D5" w:rsidRPr="00BE40D5" w:rsidRDefault="00BE40D5" w:rsidP="00BE40D5">
            <w:pPr>
              <w:rPr>
                <w:u w:val="single"/>
              </w:rPr>
            </w:pPr>
            <w:r w:rsidRPr="00BE40D5">
              <w:rPr>
                <w:u w:val="single"/>
              </w:rPr>
              <w:t xml:space="preserve">Brand new </w:t>
            </w:r>
            <w:proofErr w:type="gramStart"/>
            <w:r w:rsidRPr="00BE40D5">
              <w:rPr>
                <w:u w:val="single"/>
              </w:rPr>
              <w:t>you :</w:t>
            </w:r>
            <w:proofErr w:type="gramEnd"/>
            <w:r w:rsidRPr="00BE40D5">
              <w:rPr>
                <w:u w:val="single"/>
              </w:rPr>
              <w:t xml:space="preserve"> makeover television and the American dream</w:t>
            </w:r>
          </w:p>
        </w:tc>
      </w:tr>
      <w:tr w:rsidR="00BE40D5" w:rsidRPr="00BE40D5" w14:paraId="05B15FBE" w14:textId="77777777">
        <w:tblPrEx>
          <w:tblBorders>
            <w:top w:val="none" w:sz="0" w:space="0" w:color="auto"/>
          </w:tblBorders>
        </w:tblPrEx>
        <w:tc>
          <w:tcPr>
            <w:tcW w:w="12960" w:type="dxa"/>
            <w:tcMar>
              <w:top w:w="20" w:type="nil"/>
              <w:left w:w="20" w:type="nil"/>
              <w:right w:w="20" w:type="nil"/>
            </w:tcMar>
            <w:vAlign w:val="bottom"/>
          </w:tcPr>
          <w:p w14:paraId="4B729455" w14:textId="77777777" w:rsidR="00BE40D5" w:rsidRPr="00BE40D5" w:rsidRDefault="00BE40D5" w:rsidP="00BE40D5">
            <w:pPr>
              <w:rPr>
                <w:u w:val="single"/>
              </w:rPr>
            </w:pPr>
            <w:r w:rsidRPr="00BE40D5">
              <w:rPr>
                <w:u w:val="single"/>
              </w:rPr>
              <w:t xml:space="preserve">Consumerism &amp; the limits to </w:t>
            </w:r>
            <w:proofErr w:type="gramStart"/>
            <w:r w:rsidRPr="00BE40D5">
              <w:rPr>
                <w:u w:val="single"/>
              </w:rPr>
              <w:t>imagination :</w:t>
            </w:r>
            <w:proofErr w:type="gramEnd"/>
            <w:r w:rsidRPr="00BE40D5">
              <w:rPr>
                <w:u w:val="single"/>
              </w:rPr>
              <w:t xml:space="preserve"> an illustrated lecture with Justin Lewis</w:t>
            </w:r>
          </w:p>
        </w:tc>
      </w:tr>
      <w:tr w:rsidR="00BE40D5" w:rsidRPr="00BE40D5" w14:paraId="61C45604" w14:textId="77777777">
        <w:tblPrEx>
          <w:tblBorders>
            <w:top w:val="none" w:sz="0" w:space="0" w:color="auto"/>
          </w:tblBorders>
        </w:tblPrEx>
        <w:tc>
          <w:tcPr>
            <w:tcW w:w="12960" w:type="dxa"/>
            <w:tcMar>
              <w:top w:w="20" w:type="nil"/>
              <w:left w:w="20" w:type="nil"/>
              <w:right w:w="20" w:type="nil"/>
            </w:tcMar>
            <w:vAlign w:val="bottom"/>
          </w:tcPr>
          <w:p w14:paraId="00B2ADDB" w14:textId="77777777" w:rsidR="00BE40D5" w:rsidRPr="00BE40D5" w:rsidRDefault="00BE40D5" w:rsidP="00BE40D5">
            <w:pPr>
              <w:rPr>
                <w:u w:val="single"/>
              </w:rPr>
            </w:pPr>
            <w:r w:rsidRPr="00BE40D5">
              <w:rPr>
                <w:u w:val="single"/>
              </w:rPr>
              <w:t>Fire in the blood</w:t>
            </w:r>
          </w:p>
        </w:tc>
      </w:tr>
      <w:tr w:rsidR="00BE40D5" w:rsidRPr="00BE40D5" w14:paraId="50B7D01A" w14:textId="77777777">
        <w:tblPrEx>
          <w:tblBorders>
            <w:top w:val="none" w:sz="0" w:space="0" w:color="auto"/>
          </w:tblBorders>
        </w:tblPrEx>
        <w:tc>
          <w:tcPr>
            <w:tcW w:w="12960" w:type="dxa"/>
            <w:tcMar>
              <w:top w:w="20" w:type="nil"/>
              <w:left w:w="20" w:type="nil"/>
              <w:right w:w="20" w:type="nil"/>
            </w:tcMar>
            <w:vAlign w:val="bottom"/>
          </w:tcPr>
          <w:p w14:paraId="4424BEC8" w14:textId="77777777" w:rsidR="00BE40D5" w:rsidRPr="00BE40D5" w:rsidRDefault="00BE40D5" w:rsidP="00BE40D5">
            <w:pPr>
              <w:rPr>
                <w:u w:val="single"/>
              </w:rPr>
            </w:pPr>
            <w:r w:rsidRPr="00BE40D5">
              <w:rPr>
                <w:u w:val="single"/>
              </w:rPr>
              <w:t>Joystick warriors</w:t>
            </w:r>
          </w:p>
        </w:tc>
      </w:tr>
      <w:tr w:rsidR="00BE40D5" w:rsidRPr="00BE40D5" w14:paraId="33F5F7D6" w14:textId="77777777">
        <w:tblPrEx>
          <w:tblBorders>
            <w:top w:val="none" w:sz="0" w:space="0" w:color="auto"/>
          </w:tblBorders>
        </w:tblPrEx>
        <w:tc>
          <w:tcPr>
            <w:tcW w:w="12960" w:type="dxa"/>
            <w:tcMar>
              <w:top w:w="20" w:type="nil"/>
              <w:left w:w="20" w:type="nil"/>
              <w:right w:w="20" w:type="nil"/>
            </w:tcMar>
            <w:vAlign w:val="bottom"/>
          </w:tcPr>
          <w:p w14:paraId="36B7604B" w14:textId="77777777" w:rsidR="00BE40D5" w:rsidRPr="00BE40D5" w:rsidRDefault="00BE40D5" w:rsidP="00BE40D5">
            <w:pPr>
              <w:rPr>
                <w:u w:val="single"/>
              </w:rPr>
            </w:pPr>
            <w:proofErr w:type="spellStart"/>
            <w:r w:rsidRPr="00BE40D5">
              <w:rPr>
                <w:u w:val="single"/>
              </w:rPr>
              <w:t>Falafelism</w:t>
            </w:r>
            <w:proofErr w:type="spellEnd"/>
          </w:p>
        </w:tc>
      </w:tr>
      <w:tr w:rsidR="00BE40D5" w:rsidRPr="00BE40D5" w14:paraId="4F88EE0E" w14:textId="77777777">
        <w:tblPrEx>
          <w:tblBorders>
            <w:top w:val="none" w:sz="0" w:space="0" w:color="auto"/>
          </w:tblBorders>
        </w:tblPrEx>
        <w:tc>
          <w:tcPr>
            <w:tcW w:w="12960" w:type="dxa"/>
            <w:tcMar>
              <w:top w:w="20" w:type="nil"/>
              <w:left w:w="20" w:type="nil"/>
              <w:right w:w="20" w:type="nil"/>
            </w:tcMar>
            <w:vAlign w:val="bottom"/>
          </w:tcPr>
          <w:p w14:paraId="7E31975E" w14:textId="77777777" w:rsidR="00BE40D5" w:rsidRPr="00BE40D5" w:rsidRDefault="00BE40D5" w:rsidP="00BE40D5">
            <w:pPr>
              <w:rPr>
                <w:u w:val="single"/>
              </w:rPr>
            </w:pPr>
            <w:r w:rsidRPr="00BE40D5">
              <w:rPr>
                <w:u w:val="single"/>
              </w:rPr>
              <w:t>Salaam dunk</w:t>
            </w:r>
          </w:p>
        </w:tc>
      </w:tr>
      <w:tr w:rsidR="00BE40D5" w:rsidRPr="00BE40D5" w14:paraId="42982B38" w14:textId="77777777">
        <w:tblPrEx>
          <w:tblBorders>
            <w:top w:val="none" w:sz="0" w:space="0" w:color="auto"/>
          </w:tblBorders>
        </w:tblPrEx>
        <w:tc>
          <w:tcPr>
            <w:tcW w:w="12960" w:type="dxa"/>
            <w:tcMar>
              <w:top w:w="20" w:type="nil"/>
              <w:left w:w="20" w:type="nil"/>
              <w:right w:w="20" w:type="nil"/>
            </w:tcMar>
            <w:vAlign w:val="bottom"/>
          </w:tcPr>
          <w:p w14:paraId="53216122" w14:textId="77777777" w:rsidR="00BE40D5" w:rsidRPr="00BE40D5" w:rsidRDefault="00BE40D5" w:rsidP="00BE40D5">
            <w:pPr>
              <w:rPr>
                <w:u w:val="single"/>
              </w:rPr>
            </w:pPr>
            <w:r w:rsidRPr="00BE40D5">
              <w:rPr>
                <w:u w:val="single"/>
              </w:rPr>
              <w:t>Art of resilience</w:t>
            </w:r>
          </w:p>
        </w:tc>
      </w:tr>
      <w:tr w:rsidR="00BE40D5" w:rsidRPr="00BE40D5" w14:paraId="5023DB24" w14:textId="77777777">
        <w:tblPrEx>
          <w:tblBorders>
            <w:top w:val="none" w:sz="0" w:space="0" w:color="auto"/>
          </w:tblBorders>
        </w:tblPrEx>
        <w:tc>
          <w:tcPr>
            <w:tcW w:w="12960" w:type="dxa"/>
            <w:tcMar>
              <w:top w:w="20" w:type="nil"/>
              <w:left w:w="20" w:type="nil"/>
              <w:right w:w="20" w:type="nil"/>
            </w:tcMar>
            <w:vAlign w:val="bottom"/>
          </w:tcPr>
          <w:p w14:paraId="62BEE353" w14:textId="77777777" w:rsidR="00BE40D5" w:rsidRPr="00BE40D5" w:rsidRDefault="00BE40D5" w:rsidP="00BE40D5">
            <w:pPr>
              <w:rPr>
                <w:u w:val="single"/>
              </w:rPr>
            </w:pPr>
            <w:r w:rsidRPr="00BE40D5">
              <w:rPr>
                <w:u w:val="single"/>
              </w:rPr>
              <w:t xml:space="preserve">Just a piece of </w:t>
            </w:r>
            <w:proofErr w:type="gramStart"/>
            <w:r w:rsidRPr="00BE40D5">
              <w:rPr>
                <w:u w:val="single"/>
              </w:rPr>
              <w:t>cloth :</w:t>
            </w:r>
            <w:proofErr w:type="gramEnd"/>
            <w:r w:rsidRPr="00BE40D5">
              <w:rPr>
                <w:u w:val="single"/>
              </w:rPr>
              <w:t xml:space="preserve"> four Muslim women, four perspectives on wearing hijab</w:t>
            </w:r>
          </w:p>
        </w:tc>
      </w:tr>
      <w:tr w:rsidR="00BE40D5" w:rsidRPr="00BE40D5" w14:paraId="70E2F624" w14:textId="77777777">
        <w:tc>
          <w:tcPr>
            <w:tcW w:w="12960" w:type="dxa"/>
            <w:tcMar>
              <w:top w:w="20" w:type="nil"/>
              <w:left w:w="20" w:type="nil"/>
              <w:right w:w="20" w:type="nil"/>
            </w:tcMar>
            <w:vAlign w:val="bottom"/>
          </w:tcPr>
          <w:p w14:paraId="0A9AD4D0" w14:textId="77777777" w:rsidR="00BE40D5" w:rsidRPr="00BE40D5" w:rsidRDefault="00BE40D5" w:rsidP="00BE40D5">
            <w:pPr>
              <w:rPr>
                <w:u w:val="single"/>
              </w:rPr>
            </w:pPr>
            <w:r w:rsidRPr="00BE40D5">
              <w:rPr>
                <w:u w:val="single"/>
              </w:rPr>
              <w:t>Cairo station</w:t>
            </w:r>
          </w:p>
        </w:tc>
      </w:tr>
    </w:tbl>
    <w:p w14:paraId="6E12F8E0" w14:textId="77777777" w:rsidR="00BE40D5" w:rsidRDefault="00BE40D5" w:rsidP="00DE3591"/>
    <w:p w14:paraId="59C72D90" w14:textId="3019FE76" w:rsidR="00BE40D5" w:rsidRDefault="00BE40D5" w:rsidP="00DE3591">
      <w:r>
        <w:t xml:space="preserve">Media Resources submitted a </w:t>
      </w:r>
      <w:hyperlink r:id="rId9" w:history="1">
        <w:r w:rsidRPr="00BE40D5">
          <w:rPr>
            <w:rStyle w:val="Hyperlink"/>
          </w:rPr>
          <w:t>proposal</w:t>
        </w:r>
      </w:hyperlink>
      <w:r>
        <w:t xml:space="preserve"> to investigate the acquisition of a new streaming video management system, NJVID.</w:t>
      </w:r>
    </w:p>
    <w:p w14:paraId="30AAC803" w14:textId="77777777" w:rsidR="00BE40D5" w:rsidRDefault="00BE40D5" w:rsidP="00DE3591"/>
    <w:p w14:paraId="22C7DCA7" w14:textId="6DBC9312" w:rsidR="00BE40D5" w:rsidRPr="00BE40D5" w:rsidRDefault="00BE40D5" w:rsidP="00DE3591">
      <w:r>
        <w:t xml:space="preserve">OVC stats are available </w:t>
      </w:r>
      <w:hyperlink r:id="rId10" w:history="1">
        <w:r w:rsidRPr="001B1703">
          <w:rPr>
            <w:rStyle w:val="Hyperlink"/>
          </w:rPr>
          <w:t>here</w:t>
        </w:r>
      </w:hyperlink>
      <w:r>
        <w:t>.</w:t>
      </w:r>
    </w:p>
    <w:p w14:paraId="3ED32789" w14:textId="77777777" w:rsidR="00DE3591" w:rsidRDefault="00DE3591" w:rsidP="00DE3591"/>
    <w:p w14:paraId="7043CA95" w14:textId="77777777" w:rsidR="00BE40D5" w:rsidRDefault="00BE40D5" w:rsidP="00DE3591"/>
    <w:p w14:paraId="45A09A52" w14:textId="77777777" w:rsidR="00204AD4" w:rsidRDefault="00204AD4" w:rsidP="00DE3591">
      <w:r>
        <w:rPr>
          <w:rStyle w:val="Heading3Char"/>
        </w:rPr>
        <w:t>Marketing and Outreach</w:t>
      </w:r>
      <w:r w:rsidR="00DE3591" w:rsidRPr="00204AD4">
        <w:rPr>
          <w:rStyle w:val="Heading3Char"/>
        </w:rPr>
        <w:t>:</w:t>
      </w:r>
      <w:r w:rsidR="00DE3591" w:rsidRPr="00DE3591">
        <w:t xml:space="preserve"> </w:t>
      </w:r>
    </w:p>
    <w:p w14:paraId="43A0DFBF" w14:textId="2404E6EE" w:rsidR="00204AD4" w:rsidRDefault="00D56AE4" w:rsidP="00DE3591">
      <w:r>
        <w:t>This was our f</w:t>
      </w:r>
      <w:r w:rsidRPr="00D56AE4">
        <w:t>irst full year with AFI top 100 d</w:t>
      </w:r>
      <w:r>
        <w:t>isplay and companion website.  This display g</w:t>
      </w:r>
      <w:r w:rsidRPr="00D56AE4">
        <w:t xml:space="preserve">ives added value information about </w:t>
      </w:r>
      <w:r>
        <w:t>films</w:t>
      </w:r>
      <w:r w:rsidRPr="00D56AE4">
        <w:t xml:space="preserve"> in our collection, with tangible and virtual content. We also created a staff picks browsing display of approximately 100 titles, rotating each semester.  Both displays have unique location codes in our ILS.  Patron and staff feedback have been very positive.</w:t>
      </w:r>
      <w:r w:rsidR="00441DB5">
        <w:t xml:space="preserve"> Of Media Resources total media circulation, </w:t>
      </w:r>
      <w:r w:rsidR="00441DB5" w:rsidRPr="00441DB5">
        <w:t>25% (1,713) were display items (8% AFI, 17% Browsing).  </w:t>
      </w:r>
    </w:p>
    <w:p w14:paraId="2D2DDA35" w14:textId="77777777" w:rsidR="00441DB5" w:rsidRPr="00DE3591" w:rsidRDefault="00441DB5" w:rsidP="00DE3591"/>
    <w:p w14:paraId="0DB47722" w14:textId="35E17B1D" w:rsidR="00DE3591" w:rsidRDefault="0086512E" w:rsidP="0086512E">
      <w:pPr>
        <w:pStyle w:val="Heading3"/>
      </w:pPr>
      <w:r>
        <w:t>Equipment:</w:t>
      </w:r>
    </w:p>
    <w:p w14:paraId="3AD3C675" w14:textId="74184710" w:rsidR="0086512E" w:rsidRPr="00E35845" w:rsidRDefault="00E35845" w:rsidP="0086512E">
      <w:r w:rsidRPr="00E35845">
        <w:t>New equipment</w:t>
      </w:r>
      <w:r>
        <w:t xml:space="preserve"> added this year</w:t>
      </w:r>
      <w:r w:rsidRPr="00E35845">
        <w:t xml:space="preserve">: </w:t>
      </w:r>
    </w:p>
    <w:p w14:paraId="68EF9B36" w14:textId="77777777" w:rsidR="00E35845" w:rsidRPr="00E35845" w:rsidRDefault="00E35845" w:rsidP="00E35845">
      <w:r w:rsidRPr="00E35845">
        <w:tab/>
        <w:t>1. MXL Videographer’s Kit for Cellphone Rig</w:t>
      </w:r>
    </w:p>
    <w:p w14:paraId="0443517C" w14:textId="7D968896" w:rsidR="00E35845" w:rsidRPr="00E35845" w:rsidRDefault="00E35845" w:rsidP="00E35845">
      <w:pPr>
        <w:ind w:firstLine="720"/>
      </w:pPr>
      <w:r w:rsidRPr="00E35845">
        <w:t xml:space="preserve">2. </w:t>
      </w:r>
      <w:proofErr w:type="spellStart"/>
      <w:r w:rsidRPr="00E35845">
        <w:t>Revo</w:t>
      </w:r>
      <w:proofErr w:type="spellEnd"/>
      <w:r w:rsidRPr="00E35845">
        <w:t xml:space="preserve"> Shoulder Rig for DSLRs and Cameras</w:t>
      </w:r>
    </w:p>
    <w:p w14:paraId="7C87827C" w14:textId="75A5C8E1" w:rsidR="00E35845" w:rsidRPr="00E35845" w:rsidRDefault="00E35845" w:rsidP="00E35845">
      <w:pPr>
        <w:ind w:firstLine="720"/>
      </w:pPr>
      <w:r w:rsidRPr="00E35845">
        <w:t>3. 3D television and glasses</w:t>
      </w:r>
    </w:p>
    <w:p w14:paraId="384478F7" w14:textId="263CEA25" w:rsidR="0086512E" w:rsidRPr="0086512E" w:rsidRDefault="0086512E" w:rsidP="0086512E"/>
    <w:p w14:paraId="5F4B1789" w14:textId="77777777" w:rsidR="00DE3591" w:rsidRDefault="00DE3591" w:rsidP="00DE3591"/>
    <w:p w14:paraId="5ED2C7D9" w14:textId="77777777" w:rsidR="004B3FB9" w:rsidRDefault="004B3FB9" w:rsidP="00545CDD">
      <w:pPr>
        <w:pStyle w:val="Heading2"/>
      </w:pPr>
      <w:r>
        <w:t>Services:</w:t>
      </w:r>
    </w:p>
    <w:p w14:paraId="5749AAF2" w14:textId="49048E8F" w:rsidR="004B3FB9" w:rsidRDefault="00C02AF5" w:rsidP="00C02AF5">
      <w:pPr>
        <w:pStyle w:val="Heading3"/>
      </w:pPr>
      <w:r>
        <w:t>LMS Streaming:</w:t>
      </w:r>
    </w:p>
    <w:p w14:paraId="2D5ACF5E" w14:textId="77777777" w:rsidR="006E43CD" w:rsidRDefault="006E43CD" w:rsidP="006E43CD"/>
    <w:p w14:paraId="0FD20385" w14:textId="06DDCBE7" w:rsidR="006E43CD" w:rsidRPr="006E43CD" w:rsidRDefault="006E43CD" w:rsidP="006E43CD">
      <w:r>
        <w:t>The LMS streaming service has remained steady.</w:t>
      </w:r>
    </w:p>
    <w:p w14:paraId="457B6B9C" w14:textId="766308A8" w:rsidR="00C02AF5" w:rsidRPr="00441DB5" w:rsidRDefault="00C02AF5" w:rsidP="00C02AF5">
      <w:pPr>
        <w:rPr>
          <w:b/>
          <w:color w:val="FF0000"/>
        </w:rPr>
      </w:pPr>
    </w:p>
    <w:p w14:paraId="27562F81" w14:textId="1B7BC338" w:rsidR="001B1703" w:rsidRPr="001B1703" w:rsidRDefault="001B1703" w:rsidP="001B1703">
      <w:r>
        <w:t>SUMMER 2015</w:t>
      </w:r>
      <w:r w:rsidRPr="001B1703">
        <w:t>:</w:t>
      </w:r>
    </w:p>
    <w:p w14:paraId="30691CFD" w14:textId="77777777" w:rsidR="001B1703" w:rsidRPr="001B1703" w:rsidRDefault="001B1703" w:rsidP="001B1703"/>
    <w:p w14:paraId="4B89E76F" w14:textId="77777777" w:rsidR="001B1703" w:rsidRPr="001B1703" w:rsidRDefault="001B1703" w:rsidP="001B1703">
      <w:r w:rsidRPr="001B1703">
        <w:t>Number of videos streamed: 42</w:t>
      </w:r>
    </w:p>
    <w:p w14:paraId="048058C8" w14:textId="77777777" w:rsidR="001B1703" w:rsidRPr="001B1703" w:rsidRDefault="001B1703" w:rsidP="001B1703">
      <w:r w:rsidRPr="001B1703">
        <w:t>Number of professors using this service: 21</w:t>
      </w:r>
    </w:p>
    <w:p w14:paraId="4ADAA0C3" w14:textId="77777777" w:rsidR="001B1703" w:rsidRPr="001B1703" w:rsidRDefault="001B1703" w:rsidP="001B1703"/>
    <w:p w14:paraId="405623D8" w14:textId="75FCF556" w:rsidR="001B1703" w:rsidRPr="001B1703" w:rsidRDefault="001B1703" w:rsidP="001B1703">
      <w:r w:rsidRPr="001B1703">
        <w:t>SPRING 2015:</w:t>
      </w:r>
    </w:p>
    <w:p w14:paraId="43A9E87D" w14:textId="77777777" w:rsidR="001B1703" w:rsidRPr="001B1703" w:rsidRDefault="001B1703" w:rsidP="001B1703"/>
    <w:p w14:paraId="6848E723" w14:textId="77777777" w:rsidR="001B1703" w:rsidRPr="001B1703" w:rsidRDefault="001B1703" w:rsidP="001B1703">
      <w:r w:rsidRPr="001B1703">
        <w:t>Number of videos streamed: 55</w:t>
      </w:r>
    </w:p>
    <w:p w14:paraId="4FD820DA" w14:textId="77777777" w:rsidR="001B1703" w:rsidRPr="001B1703" w:rsidRDefault="001B1703" w:rsidP="001B1703">
      <w:r w:rsidRPr="001B1703">
        <w:t>Number of professors using this service: 28</w:t>
      </w:r>
    </w:p>
    <w:p w14:paraId="31711DB1" w14:textId="77777777" w:rsidR="001B1703" w:rsidRPr="001B1703" w:rsidRDefault="001B1703" w:rsidP="001B1703"/>
    <w:p w14:paraId="5B8CE89D" w14:textId="77777777" w:rsidR="001B1703" w:rsidRPr="001B1703" w:rsidRDefault="001B1703" w:rsidP="001B1703">
      <w:r w:rsidRPr="001B1703">
        <w:t>FALL 2014:</w:t>
      </w:r>
    </w:p>
    <w:p w14:paraId="47C4BCA8" w14:textId="77777777" w:rsidR="001B1703" w:rsidRPr="001B1703" w:rsidRDefault="001B1703" w:rsidP="001B1703"/>
    <w:p w14:paraId="618648E7" w14:textId="77777777" w:rsidR="001B1703" w:rsidRPr="001B1703" w:rsidRDefault="001B1703" w:rsidP="001B1703">
      <w:r w:rsidRPr="001B1703">
        <w:t>Number of videos streamed: 41</w:t>
      </w:r>
    </w:p>
    <w:p w14:paraId="38204504" w14:textId="77A7B7E1" w:rsidR="00C02AF5" w:rsidRDefault="001B1703" w:rsidP="001B1703">
      <w:r w:rsidRPr="001B1703">
        <w:t>Number of professors using this service: 25</w:t>
      </w:r>
    </w:p>
    <w:p w14:paraId="0CBA1737" w14:textId="77777777" w:rsidR="001B1703" w:rsidRDefault="001B1703" w:rsidP="001B1703"/>
    <w:p w14:paraId="4249C7CF" w14:textId="79F0934D" w:rsidR="00C757A0" w:rsidRDefault="00C757A0" w:rsidP="00C757A0">
      <w:pPr>
        <w:pStyle w:val="Heading3"/>
      </w:pPr>
      <w:r>
        <w:t>Instruction:</w:t>
      </w:r>
    </w:p>
    <w:p w14:paraId="05E41472" w14:textId="77777777" w:rsidR="006E43CD" w:rsidRDefault="006E43CD" w:rsidP="006E43CD"/>
    <w:p w14:paraId="19F0FD62" w14:textId="6B1DA1F5" w:rsidR="006E43CD" w:rsidRPr="006E43CD" w:rsidRDefault="006E43CD" w:rsidP="006E43CD">
      <w:r>
        <w:t>Demand for media instruction has grown significantly.  This can be attributed to both increasing demand and the increased visibility of the service.  It is unclear how long this trend will continue, but careful thought needs to be put into planning for this service.</w:t>
      </w:r>
    </w:p>
    <w:p w14:paraId="2A283597" w14:textId="671DF89E" w:rsidR="00441DB5" w:rsidRDefault="00441DB5" w:rsidP="00441DB5"/>
    <w:tbl>
      <w:tblPr>
        <w:tblW w:w="10152" w:type="dxa"/>
        <w:tblInd w:w="108" w:type="dxa"/>
        <w:tblBorders>
          <w:top w:val="nil"/>
          <w:left w:val="nil"/>
          <w:right w:val="nil"/>
        </w:tblBorders>
        <w:tblLayout w:type="fixed"/>
        <w:tblLook w:val="0000" w:firstRow="0" w:lastRow="0" w:firstColumn="0" w:lastColumn="0" w:noHBand="0" w:noVBand="0"/>
      </w:tblPr>
      <w:tblGrid>
        <w:gridCol w:w="4473"/>
        <w:gridCol w:w="2079"/>
        <w:gridCol w:w="1710"/>
        <w:gridCol w:w="1890"/>
      </w:tblGrid>
      <w:tr w:rsidR="00441DB5" w:rsidRPr="00441DB5" w14:paraId="60C5FF27" w14:textId="77777777" w:rsidTr="00441DB5">
        <w:tc>
          <w:tcPr>
            <w:tcW w:w="4473" w:type="dxa"/>
            <w:tcBorders>
              <w:top w:val="single" w:sz="5" w:space="0" w:color="000000"/>
              <w:left w:val="single" w:sz="5" w:space="0" w:color="000000"/>
              <w:bottom w:val="single" w:sz="5" w:space="0" w:color="000000"/>
              <w:right w:val="single" w:sz="5" w:space="0" w:color="000000"/>
            </w:tcBorders>
            <w:tcMar>
              <w:top w:w="20" w:type="nil"/>
              <w:left w:w="20" w:type="nil"/>
              <w:right w:w="20" w:type="nil"/>
            </w:tcMar>
            <w:vAlign w:val="center"/>
          </w:tcPr>
          <w:p w14:paraId="639CA42A" w14:textId="77777777" w:rsidR="00441DB5" w:rsidRPr="00441DB5" w:rsidRDefault="00441DB5" w:rsidP="00441DB5">
            <w:r w:rsidRPr="00441DB5">
              <w:t>ACTIVITIES</w:t>
            </w:r>
          </w:p>
        </w:tc>
        <w:tc>
          <w:tcPr>
            <w:tcW w:w="2079" w:type="dxa"/>
            <w:tcBorders>
              <w:top w:val="single" w:sz="5" w:space="0" w:color="000000"/>
              <w:bottom w:val="single" w:sz="5" w:space="0" w:color="000000"/>
              <w:right w:val="single" w:sz="5" w:space="0" w:color="000000"/>
            </w:tcBorders>
            <w:tcMar>
              <w:top w:w="20" w:type="nil"/>
              <w:left w:w="20" w:type="nil"/>
              <w:right w:w="20" w:type="nil"/>
            </w:tcMar>
            <w:vAlign w:val="center"/>
          </w:tcPr>
          <w:p w14:paraId="0B52D5F3" w14:textId="77777777" w:rsidR="00441DB5" w:rsidRPr="00441DB5" w:rsidRDefault="00441DB5" w:rsidP="00441DB5">
            <w:r w:rsidRPr="00441DB5">
              <w:t>                 2012-13</w:t>
            </w:r>
          </w:p>
        </w:tc>
        <w:tc>
          <w:tcPr>
            <w:tcW w:w="1710" w:type="dxa"/>
            <w:tcBorders>
              <w:top w:val="single" w:sz="5" w:space="0" w:color="000000"/>
              <w:bottom w:val="single" w:sz="5" w:space="0" w:color="000000"/>
              <w:right w:val="single" w:sz="5" w:space="0" w:color="000000"/>
            </w:tcBorders>
            <w:tcMar>
              <w:top w:w="20" w:type="nil"/>
              <w:left w:w="20" w:type="nil"/>
              <w:right w:w="20" w:type="nil"/>
            </w:tcMar>
            <w:vAlign w:val="center"/>
          </w:tcPr>
          <w:p w14:paraId="03E673F8" w14:textId="77777777" w:rsidR="00441DB5" w:rsidRPr="00441DB5" w:rsidRDefault="00441DB5" w:rsidP="00441DB5">
            <w:r w:rsidRPr="00441DB5">
              <w:t>          2013-14</w:t>
            </w:r>
          </w:p>
        </w:tc>
        <w:tc>
          <w:tcPr>
            <w:tcW w:w="1890" w:type="dxa"/>
            <w:tcBorders>
              <w:top w:val="single" w:sz="5" w:space="0" w:color="000000"/>
              <w:bottom w:val="single" w:sz="5" w:space="0" w:color="000000"/>
              <w:right w:val="single" w:sz="5" w:space="0" w:color="000000"/>
            </w:tcBorders>
            <w:tcMar>
              <w:top w:w="20" w:type="nil"/>
              <w:left w:w="20" w:type="nil"/>
              <w:right w:w="20" w:type="nil"/>
            </w:tcMar>
            <w:vAlign w:val="center"/>
          </w:tcPr>
          <w:p w14:paraId="3AFB9669" w14:textId="77777777" w:rsidR="00441DB5" w:rsidRPr="00441DB5" w:rsidRDefault="00441DB5" w:rsidP="00441DB5">
            <w:r w:rsidRPr="00441DB5">
              <w:t>           2014-15</w:t>
            </w:r>
          </w:p>
        </w:tc>
      </w:tr>
      <w:tr w:rsidR="00441DB5" w:rsidRPr="00441DB5" w14:paraId="5DA4DD4F" w14:textId="77777777" w:rsidTr="00441DB5">
        <w:tblPrEx>
          <w:tblBorders>
            <w:top w:val="none" w:sz="0" w:space="0" w:color="auto"/>
          </w:tblBorders>
        </w:tblPrEx>
        <w:tc>
          <w:tcPr>
            <w:tcW w:w="4473" w:type="dxa"/>
            <w:tcBorders>
              <w:left w:val="single" w:sz="5" w:space="0" w:color="000000"/>
              <w:bottom w:val="single" w:sz="5" w:space="0" w:color="000000"/>
              <w:right w:val="single" w:sz="5" w:space="0" w:color="000000"/>
            </w:tcBorders>
            <w:tcMar>
              <w:top w:w="20" w:type="nil"/>
              <w:left w:w="20" w:type="nil"/>
              <w:right w:w="20" w:type="nil"/>
            </w:tcMar>
            <w:vAlign w:val="center"/>
          </w:tcPr>
          <w:p w14:paraId="26DA602C" w14:textId="77777777" w:rsidR="00441DB5" w:rsidRPr="00441DB5" w:rsidRDefault="00441DB5" w:rsidP="00441DB5">
            <w:r w:rsidRPr="00441DB5">
              <w:t> </w:t>
            </w:r>
          </w:p>
        </w:tc>
        <w:tc>
          <w:tcPr>
            <w:tcW w:w="2079" w:type="dxa"/>
            <w:tcBorders>
              <w:bottom w:val="single" w:sz="5" w:space="0" w:color="000000"/>
              <w:right w:val="single" w:sz="5" w:space="0" w:color="000000"/>
            </w:tcBorders>
            <w:tcMar>
              <w:top w:w="20" w:type="nil"/>
              <w:left w:w="20" w:type="nil"/>
              <w:right w:w="20" w:type="nil"/>
            </w:tcMar>
            <w:vAlign w:val="center"/>
          </w:tcPr>
          <w:p w14:paraId="22A84C22" w14:textId="77777777" w:rsidR="00441DB5" w:rsidRPr="00441DB5" w:rsidRDefault="00441DB5" w:rsidP="00441DB5">
            <w:r w:rsidRPr="00441DB5">
              <w:t> </w:t>
            </w:r>
          </w:p>
        </w:tc>
        <w:tc>
          <w:tcPr>
            <w:tcW w:w="1710" w:type="dxa"/>
            <w:tcBorders>
              <w:bottom w:val="single" w:sz="5" w:space="0" w:color="000000"/>
              <w:right w:val="single" w:sz="5" w:space="0" w:color="000000"/>
            </w:tcBorders>
            <w:tcMar>
              <w:top w:w="20" w:type="nil"/>
              <w:left w:w="20" w:type="nil"/>
              <w:right w:w="20" w:type="nil"/>
            </w:tcMar>
            <w:vAlign w:val="center"/>
          </w:tcPr>
          <w:p w14:paraId="2D7D6728" w14:textId="77777777" w:rsidR="00441DB5" w:rsidRPr="00441DB5" w:rsidRDefault="00441DB5" w:rsidP="00441DB5">
            <w:r w:rsidRPr="00441DB5">
              <w:t> </w:t>
            </w:r>
          </w:p>
        </w:tc>
        <w:tc>
          <w:tcPr>
            <w:tcW w:w="1890" w:type="dxa"/>
            <w:tcBorders>
              <w:bottom w:val="single" w:sz="5" w:space="0" w:color="000000"/>
              <w:right w:val="single" w:sz="5" w:space="0" w:color="000000"/>
            </w:tcBorders>
            <w:tcMar>
              <w:top w:w="20" w:type="nil"/>
              <w:left w:w="20" w:type="nil"/>
              <w:right w:w="20" w:type="nil"/>
            </w:tcMar>
            <w:vAlign w:val="center"/>
          </w:tcPr>
          <w:p w14:paraId="3EEB22DA" w14:textId="77777777" w:rsidR="00441DB5" w:rsidRPr="00441DB5" w:rsidRDefault="00441DB5" w:rsidP="00441DB5">
            <w:r w:rsidRPr="00441DB5">
              <w:t> </w:t>
            </w:r>
          </w:p>
        </w:tc>
      </w:tr>
      <w:tr w:rsidR="00441DB5" w:rsidRPr="00441DB5" w14:paraId="02B7097E" w14:textId="77777777" w:rsidTr="00441DB5">
        <w:tblPrEx>
          <w:tblBorders>
            <w:top w:val="none" w:sz="0" w:space="0" w:color="auto"/>
          </w:tblBorders>
        </w:tblPrEx>
        <w:tc>
          <w:tcPr>
            <w:tcW w:w="4473" w:type="dxa"/>
            <w:tcBorders>
              <w:left w:val="single" w:sz="5" w:space="0" w:color="000000"/>
              <w:bottom w:val="single" w:sz="5" w:space="0" w:color="000000"/>
              <w:right w:val="single" w:sz="5" w:space="0" w:color="000000"/>
            </w:tcBorders>
            <w:tcMar>
              <w:top w:w="20" w:type="nil"/>
              <w:left w:w="20" w:type="nil"/>
              <w:right w:w="20" w:type="nil"/>
            </w:tcMar>
            <w:vAlign w:val="bottom"/>
          </w:tcPr>
          <w:p w14:paraId="18CB10EB" w14:textId="77777777" w:rsidR="00441DB5" w:rsidRPr="00441DB5" w:rsidRDefault="00441DB5" w:rsidP="00441DB5">
            <w:r w:rsidRPr="00441DB5">
              <w:t>Class Taught</w:t>
            </w:r>
          </w:p>
        </w:tc>
        <w:tc>
          <w:tcPr>
            <w:tcW w:w="2079" w:type="dxa"/>
            <w:tcBorders>
              <w:bottom w:val="single" w:sz="5" w:space="0" w:color="000000"/>
              <w:right w:val="single" w:sz="5" w:space="0" w:color="000000"/>
            </w:tcBorders>
            <w:tcMar>
              <w:top w:w="20" w:type="nil"/>
              <w:left w:w="20" w:type="nil"/>
              <w:right w:w="20" w:type="nil"/>
            </w:tcMar>
            <w:vAlign w:val="bottom"/>
          </w:tcPr>
          <w:p w14:paraId="4154CC75" w14:textId="77777777" w:rsidR="00441DB5" w:rsidRPr="00441DB5" w:rsidRDefault="00441DB5" w:rsidP="00441DB5">
            <w:r w:rsidRPr="00441DB5">
              <w:t>7</w:t>
            </w:r>
          </w:p>
        </w:tc>
        <w:tc>
          <w:tcPr>
            <w:tcW w:w="1710" w:type="dxa"/>
            <w:tcBorders>
              <w:bottom w:val="single" w:sz="5" w:space="0" w:color="000000"/>
              <w:right w:val="single" w:sz="5" w:space="0" w:color="000000"/>
            </w:tcBorders>
            <w:tcMar>
              <w:top w:w="20" w:type="nil"/>
              <w:left w:w="20" w:type="nil"/>
              <w:right w:w="20" w:type="nil"/>
            </w:tcMar>
            <w:vAlign w:val="bottom"/>
          </w:tcPr>
          <w:p w14:paraId="6D346A1C" w14:textId="77777777" w:rsidR="00441DB5" w:rsidRPr="00441DB5" w:rsidRDefault="00441DB5" w:rsidP="00441DB5">
            <w:r w:rsidRPr="00441DB5">
              <w:t>12</w:t>
            </w:r>
          </w:p>
        </w:tc>
        <w:tc>
          <w:tcPr>
            <w:tcW w:w="1890" w:type="dxa"/>
            <w:tcBorders>
              <w:bottom w:val="single" w:sz="5" w:space="0" w:color="000000"/>
              <w:right w:val="single" w:sz="5" w:space="0" w:color="000000"/>
            </w:tcBorders>
            <w:tcMar>
              <w:top w:w="20" w:type="nil"/>
              <w:left w:w="20" w:type="nil"/>
              <w:right w:w="20" w:type="nil"/>
            </w:tcMar>
            <w:vAlign w:val="bottom"/>
          </w:tcPr>
          <w:p w14:paraId="0ED7AA90" w14:textId="77777777" w:rsidR="00441DB5" w:rsidRPr="00441DB5" w:rsidRDefault="00441DB5" w:rsidP="00441DB5">
            <w:r w:rsidRPr="00441DB5">
              <w:t>29</w:t>
            </w:r>
          </w:p>
        </w:tc>
      </w:tr>
      <w:tr w:rsidR="00441DB5" w:rsidRPr="00441DB5" w14:paraId="5A244DD2" w14:textId="77777777" w:rsidTr="00441DB5">
        <w:tblPrEx>
          <w:tblBorders>
            <w:top w:val="none" w:sz="0" w:space="0" w:color="auto"/>
          </w:tblBorders>
        </w:tblPrEx>
        <w:tc>
          <w:tcPr>
            <w:tcW w:w="4473" w:type="dxa"/>
            <w:tcBorders>
              <w:left w:val="single" w:sz="5" w:space="0" w:color="000000"/>
              <w:bottom w:val="single" w:sz="5" w:space="0" w:color="000000"/>
              <w:right w:val="single" w:sz="5" w:space="0" w:color="000000"/>
            </w:tcBorders>
            <w:tcMar>
              <w:top w:w="20" w:type="nil"/>
              <w:left w:w="20" w:type="nil"/>
              <w:right w:w="20" w:type="nil"/>
            </w:tcMar>
            <w:vAlign w:val="bottom"/>
          </w:tcPr>
          <w:p w14:paraId="42F3DC92" w14:textId="77777777" w:rsidR="00441DB5" w:rsidRPr="00441DB5" w:rsidRDefault="00441DB5" w:rsidP="00441DB5">
            <w:r w:rsidRPr="00441DB5">
              <w:t>Number of Students Taught</w:t>
            </w:r>
          </w:p>
        </w:tc>
        <w:tc>
          <w:tcPr>
            <w:tcW w:w="2079" w:type="dxa"/>
            <w:tcBorders>
              <w:bottom w:val="single" w:sz="5" w:space="0" w:color="000000"/>
              <w:right w:val="single" w:sz="5" w:space="0" w:color="000000"/>
            </w:tcBorders>
            <w:tcMar>
              <w:top w:w="20" w:type="nil"/>
              <w:left w:w="20" w:type="nil"/>
              <w:right w:w="20" w:type="nil"/>
            </w:tcMar>
            <w:vAlign w:val="bottom"/>
          </w:tcPr>
          <w:p w14:paraId="2061B6EB" w14:textId="77777777" w:rsidR="00441DB5" w:rsidRPr="00441DB5" w:rsidRDefault="00441DB5" w:rsidP="00441DB5">
            <w:r w:rsidRPr="00441DB5">
              <w:t>98</w:t>
            </w:r>
          </w:p>
        </w:tc>
        <w:tc>
          <w:tcPr>
            <w:tcW w:w="1710" w:type="dxa"/>
            <w:tcBorders>
              <w:bottom w:val="single" w:sz="5" w:space="0" w:color="000000"/>
              <w:right w:val="single" w:sz="5" w:space="0" w:color="000000"/>
            </w:tcBorders>
            <w:tcMar>
              <w:top w:w="20" w:type="nil"/>
              <w:left w:w="20" w:type="nil"/>
              <w:right w:w="20" w:type="nil"/>
            </w:tcMar>
            <w:vAlign w:val="bottom"/>
          </w:tcPr>
          <w:p w14:paraId="5FB312BC" w14:textId="77777777" w:rsidR="00441DB5" w:rsidRPr="00441DB5" w:rsidRDefault="00441DB5" w:rsidP="00441DB5">
            <w:r w:rsidRPr="00441DB5">
              <w:t>124</w:t>
            </w:r>
          </w:p>
        </w:tc>
        <w:tc>
          <w:tcPr>
            <w:tcW w:w="1890" w:type="dxa"/>
            <w:tcBorders>
              <w:bottom w:val="single" w:sz="5" w:space="0" w:color="000000"/>
              <w:right w:val="single" w:sz="5" w:space="0" w:color="000000"/>
            </w:tcBorders>
            <w:tcMar>
              <w:top w:w="20" w:type="nil"/>
              <w:left w:w="20" w:type="nil"/>
              <w:right w:w="20" w:type="nil"/>
            </w:tcMar>
            <w:vAlign w:val="bottom"/>
          </w:tcPr>
          <w:p w14:paraId="73E2AD6E" w14:textId="77777777" w:rsidR="00441DB5" w:rsidRPr="00441DB5" w:rsidRDefault="00441DB5" w:rsidP="00441DB5">
            <w:r w:rsidRPr="00441DB5">
              <w:t>549</w:t>
            </w:r>
          </w:p>
        </w:tc>
      </w:tr>
      <w:tr w:rsidR="00441DB5" w:rsidRPr="00441DB5" w14:paraId="5B90DF6D" w14:textId="77777777" w:rsidTr="00441DB5">
        <w:tblPrEx>
          <w:tblBorders>
            <w:top w:val="none" w:sz="0" w:space="0" w:color="auto"/>
          </w:tblBorders>
        </w:tblPrEx>
        <w:tc>
          <w:tcPr>
            <w:tcW w:w="4473" w:type="dxa"/>
            <w:tcBorders>
              <w:left w:val="single" w:sz="5" w:space="0" w:color="000000"/>
              <w:bottom w:val="single" w:sz="5" w:space="0" w:color="000000"/>
              <w:right w:val="single" w:sz="5" w:space="0" w:color="000000"/>
            </w:tcBorders>
            <w:tcMar>
              <w:top w:w="20" w:type="nil"/>
              <w:left w:w="20" w:type="nil"/>
              <w:right w:w="20" w:type="nil"/>
            </w:tcMar>
            <w:vAlign w:val="bottom"/>
          </w:tcPr>
          <w:p w14:paraId="3DCA4AAE" w14:textId="77777777" w:rsidR="00441DB5" w:rsidRPr="00441DB5" w:rsidRDefault="00441DB5" w:rsidP="00441DB5">
            <w:r w:rsidRPr="00441DB5">
              <w:t>MADLAB Trainings</w:t>
            </w:r>
          </w:p>
        </w:tc>
        <w:tc>
          <w:tcPr>
            <w:tcW w:w="2079" w:type="dxa"/>
            <w:tcBorders>
              <w:bottom w:val="single" w:sz="5" w:space="0" w:color="000000"/>
              <w:right w:val="single" w:sz="5" w:space="0" w:color="000000"/>
            </w:tcBorders>
            <w:tcMar>
              <w:top w:w="20" w:type="nil"/>
              <w:left w:w="20" w:type="nil"/>
              <w:right w:w="20" w:type="nil"/>
            </w:tcMar>
            <w:vAlign w:val="bottom"/>
          </w:tcPr>
          <w:p w14:paraId="149FC370" w14:textId="77777777" w:rsidR="00441DB5" w:rsidRPr="00441DB5" w:rsidRDefault="00441DB5" w:rsidP="00441DB5">
            <w:r w:rsidRPr="00441DB5">
              <w:t>0</w:t>
            </w:r>
          </w:p>
        </w:tc>
        <w:tc>
          <w:tcPr>
            <w:tcW w:w="1710" w:type="dxa"/>
            <w:tcBorders>
              <w:bottom w:val="single" w:sz="5" w:space="0" w:color="000000"/>
              <w:right w:val="single" w:sz="5" w:space="0" w:color="000000"/>
            </w:tcBorders>
            <w:tcMar>
              <w:top w:w="20" w:type="nil"/>
              <w:left w:w="20" w:type="nil"/>
              <w:right w:w="20" w:type="nil"/>
            </w:tcMar>
            <w:vAlign w:val="bottom"/>
          </w:tcPr>
          <w:p w14:paraId="50196B70" w14:textId="77777777" w:rsidR="00441DB5" w:rsidRPr="00441DB5" w:rsidRDefault="00441DB5" w:rsidP="00441DB5">
            <w:r w:rsidRPr="00441DB5">
              <w:t>0</w:t>
            </w:r>
          </w:p>
        </w:tc>
        <w:tc>
          <w:tcPr>
            <w:tcW w:w="1890" w:type="dxa"/>
            <w:tcBorders>
              <w:bottom w:val="single" w:sz="5" w:space="0" w:color="000000"/>
              <w:right w:val="single" w:sz="5" w:space="0" w:color="000000"/>
            </w:tcBorders>
            <w:tcMar>
              <w:top w:w="20" w:type="nil"/>
              <w:left w:w="20" w:type="nil"/>
              <w:right w:w="20" w:type="nil"/>
            </w:tcMar>
            <w:vAlign w:val="bottom"/>
          </w:tcPr>
          <w:p w14:paraId="7A3B9A06" w14:textId="77777777" w:rsidR="00441DB5" w:rsidRPr="00441DB5" w:rsidRDefault="00441DB5" w:rsidP="00441DB5">
            <w:r w:rsidRPr="00441DB5">
              <w:t>10</w:t>
            </w:r>
          </w:p>
        </w:tc>
      </w:tr>
      <w:tr w:rsidR="00441DB5" w:rsidRPr="00441DB5" w14:paraId="6BB8FD4E" w14:textId="77777777" w:rsidTr="00441DB5">
        <w:tblPrEx>
          <w:tblBorders>
            <w:top w:val="none" w:sz="0" w:space="0" w:color="auto"/>
          </w:tblBorders>
        </w:tblPrEx>
        <w:tc>
          <w:tcPr>
            <w:tcW w:w="4473" w:type="dxa"/>
            <w:tcBorders>
              <w:left w:val="single" w:sz="5" w:space="0" w:color="000000"/>
              <w:bottom w:val="single" w:sz="5" w:space="0" w:color="000000"/>
              <w:right w:val="single" w:sz="5" w:space="0" w:color="000000"/>
            </w:tcBorders>
            <w:tcMar>
              <w:top w:w="20" w:type="nil"/>
              <w:left w:w="20" w:type="nil"/>
              <w:right w:w="20" w:type="nil"/>
            </w:tcMar>
            <w:vAlign w:val="bottom"/>
          </w:tcPr>
          <w:p w14:paraId="488863C4" w14:textId="77777777" w:rsidR="00441DB5" w:rsidRPr="00441DB5" w:rsidRDefault="00441DB5" w:rsidP="00441DB5">
            <w:r w:rsidRPr="00441DB5">
              <w:t>Technical Publications &amp; Tutorials Created - Print and Web</w:t>
            </w:r>
          </w:p>
        </w:tc>
        <w:tc>
          <w:tcPr>
            <w:tcW w:w="2079" w:type="dxa"/>
            <w:tcBorders>
              <w:bottom w:val="single" w:sz="5" w:space="0" w:color="000000"/>
              <w:right w:val="single" w:sz="5" w:space="0" w:color="000000"/>
            </w:tcBorders>
            <w:tcMar>
              <w:top w:w="20" w:type="nil"/>
              <w:left w:w="20" w:type="nil"/>
              <w:right w:w="20" w:type="nil"/>
            </w:tcMar>
            <w:vAlign w:val="bottom"/>
          </w:tcPr>
          <w:p w14:paraId="336827BA" w14:textId="77777777" w:rsidR="00441DB5" w:rsidRPr="00441DB5" w:rsidRDefault="00441DB5" w:rsidP="00441DB5">
            <w:r w:rsidRPr="00441DB5">
              <w:t>20</w:t>
            </w:r>
          </w:p>
        </w:tc>
        <w:tc>
          <w:tcPr>
            <w:tcW w:w="1710" w:type="dxa"/>
            <w:tcBorders>
              <w:bottom w:val="single" w:sz="5" w:space="0" w:color="000000"/>
              <w:right w:val="single" w:sz="5" w:space="0" w:color="000000"/>
            </w:tcBorders>
            <w:tcMar>
              <w:top w:w="20" w:type="nil"/>
              <w:left w:w="20" w:type="nil"/>
              <w:right w:w="20" w:type="nil"/>
            </w:tcMar>
            <w:vAlign w:val="bottom"/>
          </w:tcPr>
          <w:p w14:paraId="3DC8D606" w14:textId="77777777" w:rsidR="00441DB5" w:rsidRPr="00441DB5" w:rsidRDefault="00441DB5" w:rsidP="00441DB5">
            <w:r w:rsidRPr="00441DB5">
              <w:t>17</w:t>
            </w:r>
          </w:p>
        </w:tc>
        <w:tc>
          <w:tcPr>
            <w:tcW w:w="1890" w:type="dxa"/>
            <w:tcBorders>
              <w:bottom w:val="single" w:sz="5" w:space="0" w:color="000000"/>
              <w:right w:val="single" w:sz="5" w:space="0" w:color="000000"/>
            </w:tcBorders>
            <w:tcMar>
              <w:top w:w="20" w:type="nil"/>
              <w:left w:w="20" w:type="nil"/>
              <w:right w:w="20" w:type="nil"/>
            </w:tcMar>
            <w:vAlign w:val="bottom"/>
          </w:tcPr>
          <w:p w14:paraId="5CC77AA5" w14:textId="77777777" w:rsidR="00441DB5" w:rsidRPr="00441DB5" w:rsidRDefault="00441DB5" w:rsidP="00441DB5">
            <w:r w:rsidRPr="00441DB5">
              <w:t>40</w:t>
            </w:r>
          </w:p>
        </w:tc>
      </w:tr>
      <w:tr w:rsidR="00441DB5" w:rsidRPr="00441DB5" w14:paraId="23A59FC9" w14:textId="77777777" w:rsidTr="00441DB5">
        <w:tblPrEx>
          <w:tblBorders>
            <w:top w:val="none" w:sz="0" w:space="0" w:color="auto"/>
          </w:tblBorders>
        </w:tblPrEx>
        <w:tc>
          <w:tcPr>
            <w:tcW w:w="4473" w:type="dxa"/>
            <w:tcBorders>
              <w:left w:val="single" w:sz="5" w:space="0" w:color="000000"/>
              <w:bottom w:val="single" w:sz="5" w:space="0" w:color="000000"/>
              <w:right w:val="single" w:sz="5" w:space="0" w:color="000000"/>
            </w:tcBorders>
            <w:tcMar>
              <w:top w:w="20" w:type="nil"/>
              <w:left w:w="20" w:type="nil"/>
              <w:right w:w="20" w:type="nil"/>
            </w:tcMar>
            <w:vAlign w:val="bottom"/>
          </w:tcPr>
          <w:p w14:paraId="32DA92B9" w14:textId="77777777" w:rsidR="00441DB5" w:rsidRPr="00441DB5" w:rsidRDefault="00441DB5" w:rsidP="00441DB5">
            <w:r w:rsidRPr="00441DB5">
              <w:t>Tech Support Lab Interactions</w:t>
            </w:r>
          </w:p>
        </w:tc>
        <w:tc>
          <w:tcPr>
            <w:tcW w:w="2079" w:type="dxa"/>
            <w:tcBorders>
              <w:bottom w:val="single" w:sz="5" w:space="0" w:color="000000"/>
              <w:right w:val="single" w:sz="5" w:space="0" w:color="000000"/>
            </w:tcBorders>
            <w:tcMar>
              <w:top w:w="20" w:type="nil"/>
              <w:left w:w="20" w:type="nil"/>
              <w:right w:w="20" w:type="nil"/>
            </w:tcMar>
            <w:vAlign w:val="bottom"/>
          </w:tcPr>
          <w:p w14:paraId="063B8094" w14:textId="77777777" w:rsidR="00441DB5" w:rsidRPr="00441DB5" w:rsidRDefault="00441DB5" w:rsidP="00441DB5">
            <w:r w:rsidRPr="00441DB5">
              <w:t>155</w:t>
            </w:r>
          </w:p>
        </w:tc>
        <w:tc>
          <w:tcPr>
            <w:tcW w:w="1710" w:type="dxa"/>
            <w:tcBorders>
              <w:bottom w:val="single" w:sz="5" w:space="0" w:color="000000"/>
              <w:right w:val="single" w:sz="5" w:space="0" w:color="000000"/>
            </w:tcBorders>
            <w:tcMar>
              <w:top w:w="20" w:type="nil"/>
              <w:left w:w="20" w:type="nil"/>
              <w:right w:w="20" w:type="nil"/>
            </w:tcMar>
            <w:vAlign w:val="bottom"/>
          </w:tcPr>
          <w:p w14:paraId="33C0582D" w14:textId="77777777" w:rsidR="00441DB5" w:rsidRPr="00441DB5" w:rsidRDefault="00441DB5" w:rsidP="00441DB5">
            <w:r w:rsidRPr="00441DB5">
              <w:t>157</w:t>
            </w:r>
          </w:p>
        </w:tc>
        <w:tc>
          <w:tcPr>
            <w:tcW w:w="1890" w:type="dxa"/>
            <w:tcBorders>
              <w:bottom w:val="single" w:sz="5" w:space="0" w:color="000000"/>
              <w:right w:val="single" w:sz="5" w:space="0" w:color="000000"/>
            </w:tcBorders>
            <w:tcMar>
              <w:top w:w="20" w:type="nil"/>
              <w:left w:w="20" w:type="nil"/>
              <w:right w:w="20" w:type="nil"/>
            </w:tcMar>
            <w:vAlign w:val="bottom"/>
          </w:tcPr>
          <w:p w14:paraId="750388D7" w14:textId="77777777" w:rsidR="00441DB5" w:rsidRPr="00441DB5" w:rsidRDefault="00441DB5" w:rsidP="00441DB5">
            <w:r w:rsidRPr="00441DB5">
              <w:t>160</w:t>
            </w:r>
          </w:p>
        </w:tc>
      </w:tr>
    </w:tbl>
    <w:p w14:paraId="40E34782" w14:textId="4E8D9F61" w:rsidR="004C2449" w:rsidRDefault="004C2449" w:rsidP="00441DB5"/>
    <w:p w14:paraId="5C3D85E3" w14:textId="0346ACDD" w:rsidR="00245217" w:rsidRDefault="00245217" w:rsidP="00245217">
      <w:pPr>
        <w:pStyle w:val="Heading3"/>
      </w:pPr>
      <w:proofErr w:type="spellStart"/>
      <w:r>
        <w:t>MadLab</w:t>
      </w:r>
      <w:proofErr w:type="spellEnd"/>
      <w:r>
        <w:t>:</w:t>
      </w:r>
    </w:p>
    <w:p w14:paraId="6C711376" w14:textId="77777777" w:rsidR="00382700" w:rsidRPr="00382700" w:rsidRDefault="00382700" w:rsidP="00382700">
      <w:r w:rsidRPr="00382700">
        <w:t xml:space="preserve">With the increasing integration of digital humanities into higher education pedagogy and the world outside the university, it became clear to Media Resources that students needed more support and instruction to negotiate the rigorous learning curve in multimedia assignments. To fill this unmet need, Media Resources launched the new, innovative program, </w:t>
      </w:r>
      <w:proofErr w:type="spellStart"/>
      <w:r w:rsidRPr="00382700">
        <w:t>MADLab</w:t>
      </w:r>
      <w:proofErr w:type="spellEnd"/>
      <w:r w:rsidRPr="00382700">
        <w:t xml:space="preserve">: the Media </w:t>
      </w:r>
      <w:proofErr w:type="spellStart"/>
      <w:r w:rsidRPr="00382700">
        <w:rPr>
          <w:i/>
          <w:iCs/>
        </w:rPr>
        <w:t>Mind</w:t>
      </w:r>
      <w:r w:rsidRPr="00382700">
        <w:t>Space</w:t>
      </w:r>
      <w:proofErr w:type="spellEnd"/>
      <w:r w:rsidRPr="00382700">
        <w:t>, in August 2014. </w:t>
      </w:r>
      <w:proofErr w:type="spellStart"/>
      <w:r w:rsidRPr="00382700">
        <w:t>MADLab</w:t>
      </w:r>
      <w:proofErr w:type="spellEnd"/>
      <w:r w:rsidRPr="00382700">
        <w:t xml:space="preserve"> offers free, fun 1 hour workshops that are created and taught by peer teachers to help other students learn skills and software for creating videos, podcasts, and using video and photographic equipment. </w:t>
      </w:r>
    </w:p>
    <w:p w14:paraId="05DCD017" w14:textId="4EC10E16" w:rsidR="00441DB5" w:rsidRDefault="00382700" w:rsidP="00382700">
      <w:r>
        <w:t>The</w:t>
      </w:r>
      <w:r w:rsidRPr="00382700">
        <w:t xml:space="preserve"> program has been so successful in its first year because the </w:t>
      </w:r>
      <w:proofErr w:type="spellStart"/>
      <w:r w:rsidRPr="00382700">
        <w:t>MADLab</w:t>
      </w:r>
      <w:proofErr w:type="spellEnd"/>
      <w:r w:rsidRPr="00382700">
        <w:t xml:space="preserve"> team has approached the objectives for the workshops using both transformational leadership principles and self-directed team structures. </w:t>
      </w:r>
      <w:r>
        <w:t>The program has the goal to be guided by</w:t>
      </w:r>
      <w:r w:rsidRPr="00382700">
        <w:t xml:space="preserve"> peer teaching, peer leadership, and the concept of the innovative ‘</w:t>
      </w:r>
      <w:proofErr w:type="spellStart"/>
      <w:r w:rsidRPr="00382700">
        <w:t>unclassroom</w:t>
      </w:r>
      <w:proofErr w:type="spellEnd"/>
      <w:r w:rsidRPr="00382700">
        <w:t>.’ To achieve that, the peer teachers create lesson plans, create original classes, and in all ways, have been given the</w:t>
      </w:r>
      <w:r>
        <w:t xml:space="preserve"> authority to be equal partners.  </w:t>
      </w:r>
      <w:r w:rsidRPr="00382700">
        <w:t xml:space="preserve">This innovative approach meets the needs of today’s learner, both for the student who works as a </w:t>
      </w:r>
      <w:proofErr w:type="spellStart"/>
      <w:r w:rsidRPr="00382700">
        <w:t>MADLab</w:t>
      </w:r>
      <w:proofErr w:type="spellEnd"/>
      <w:r w:rsidRPr="00382700">
        <w:t xml:space="preserve"> Technology Teaching Associate but also for the JMU students who attend a </w:t>
      </w:r>
      <w:proofErr w:type="spellStart"/>
      <w:r w:rsidRPr="00382700">
        <w:t>MADLab</w:t>
      </w:r>
      <w:proofErr w:type="spellEnd"/>
      <w:r w:rsidRPr="00382700">
        <w:t xml:space="preserve"> class or ask for assistance in the Media Resources editing lab. </w:t>
      </w:r>
    </w:p>
    <w:p w14:paraId="775967C2" w14:textId="5B374FCC" w:rsidR="00382700" w:rsidRDefault="00382700" w:rsidP="00382700">
      <w:r>
        <w:t xml:space="preserve">The </w:t>
      </w:r>
      <w:proofErr w:type="spellStart"/>
      <w:r>
        <w:t>MadLab</w:t>
      </w:r>
      <w:proofErr w:type="spellEnd"/>
      <w:r>
        <w:t xml:space="preserve"> first year report can be found </w:t>
      </w:r>
      <w:hyperlink r:id="rId11" w:history="1">
        <w:r w:rsidRPr="00382700">
          <w:rPr>
            <w:rStyle w:val="Hyperlink"/>
          </w:rPr>
          <w:t>here</w:t>
        </w:r>
      </w:hyperlink>
      <w:r>
        <w:t>.</w:t>
      </w:r>
    </w:p>
    <w:p w14:paraId="267D1249" w14:textId="77777777" w:rsidR="00441DB5" w:rsidRPr="00441DB5" w:rsidRDefault="00441DB5" w:rsidP="00441DB5">
      <w:pPr>
        <w:pStyle w:val="Heading3"/>
      </w:pPr>
      <w:r w:rsidRPr="00441DB5">
        <w:t>Tech Help Desk:</w:t>
      </w:r>
    </w:p>
    <w:p w14:paraId="79591F8F" w14:textId="77777777" w:rsidR="001B1703" w:rsidRDefault="00441DB5" w:rsidP="001B1703">
      <w:r w:rsidRPr="00441DB5">
        <w:t>We expanded our tech help desk program by staffing</w:t>
      </w:r>
      <w:r w:rsidR="00382700">
        <w:t xml:space="preserve"> with </w:t>
      </w:r>
      <w:proofErr w:type="spellStart"/>
      <w:r w:rsidR="00382700">
        <w:t>MadLab</w:t>
      </w:r>
      <w:proofErr w:type="spellEnd"/>
      <w:r w:rsidR="00382700">
        <w:t xml:space="preserve"> </w:t>
      </w:r>
      <w:r w:rsidR="009A0220">
        <w:t>students.  We hope with the redesigned space the tech desk will be more prominent, and students staffing the desk will be better able to see and respond to patrons using the lab.</w:t>
      </w:r>
    </w:p>
    <w:p w14:paraId="12DACAA7" w14:textId="77777777" w:rsidR="00545CDD" w:rsidRDefault="00545CDD" w:rsidP="00545CDD">
      <w:pPr>
        <w:pStyle w:val="Heading2"/>
      </w:pPr>
      <w:r>
        <w:t>Trends to inform setting BSC strategic initiatives or unit level strategic initiatives:</w:t>
      </w:r>
    </w:p>
    <w:p w14:paraId="6E9D1CAA" w14:textId="551171DE" w:rsidR="00545CDD" w:rsidRDefault="00245217" w:rsidP="00245217">
      <w:pPr>
        <w:pStyle w:val="ListParagraph"/>
        <w:numPr>
          <w:ilvl w:val="0"/>
          <w:numId w:val="6"/>
        </w:numPr>
      </w:pPr>
      <w:r>
        <w:t>Addressing increasing demand for media production support related directly to course need and for individual enrichment.</w:t>
      </w:r>
    </w:p>
    <w:p w14:paraId="403F3CEF" w14:textId="4E61C159" w:rsidR="00245217" w:rsidRDefault="00245217" w:rsidP="00245217">
      <w:pPr>
        <w:pStyle w:val="ListParagraph"/>
        <w:numPr>
          <w:ilvl w:val="0"/>
          <w:numId w:val="6"/>
        </w:numPr>
      </w:pPr>
      <w:r>
        <w:t>Media collection growth and restraints of closed stacks.</w:t>
      </w:r>
    </w:p>
    <w:p w14:paraId="194A31B6" w14:textId="0413B4F7" w:rsidR="00245217" w:rsidRDefault="00430C5E" w:rsidP="00245217">
      <w:pPr>
        <w:pStyle w:val="ListParagraph"/>
        <w:numPr>
          <w:ilvl w:val="0"/>
          <w:numId w:val="6"/>
        </w:numPr>
      </w:pPr>
      <w:r>
        <w:t>Insufficient systems for supporting streaming video collection</w:t>
      </w:r>
    </w:p>
    <w:p w14:paraId="09A71BEB" w14:textId="77777777" w:rsidR="00430C5E" w:rsidRDefault="00430C5E" w:rsidP="00245217">
      <w:pPr>
        <w:pStyle w:val="ListParagraph"/>
        <w:numPr>
          <w:ilvl w:val="0"/>
          <w:numId w:val="6"/>
        </w:numPr>
      </w:pPr>
      <w:r>
        <w:t>Legal and infrastructure challenges to LMS streaming service</w:t>
      </w:r>
    </w:p>
    <w:p w14:paraId="2E8ED85B" w14:textId="77777777" w:rsidR="00430C5E" w:rsidRDefault="00430C5E" w:rsidP="00245217">
      <w:pPr>
        <w:pStyle w:val="ListParagraph"/>
        <w:numPr>
          <w:ilvl w:val="0"/>
          <w:numId w:val="6"/>
        </w:numPr>
      </w:pPr>
      <w:r>
        <w:t>Fragile and aging media collections, especially VHS</w:t>
      </w:r>
    </w:p>
    <w:p w14:paraId="0B074D90" w14:textId="77777777" w:rsidR="00430C5E" w:rsidRDefault="00430C5E" w:rsidP="00245217">
      <w:pPr>
        <w:pStyle w:val="ListParagraph"/>
        <w:numPr>
          <w:ilvl w:val="0"/>
          <w:numId w:val="6"/>
        </w:numPr>
      </w:pPr>
      <w:r>
        <w:t>Impending obsolescence of VHS format</w:t>
      </w:r>
    </w:p>
    <w:p w14:paraId="29A6EE60" w14:textId="367E2C18" w:rsidR="00430C5E" w:rsidRDefault="00430C5E" w:rsidP="00245217">
      <w:pPr>
        <w:pStyle w:val="ListParagraph"/>
        <w:numPr>
          <w:ilvl w:val="0"/>
          <w:numId w:val="6"/>
        </w:numPr>
      </w:pPr>
      <w:r>
        <w:t xml:space="preserve"> Expense and fragility of equipment collection</w:t>
      </w:r>
    </w:p>
    <w:p w14:paraId="52843F53" w14:textId="22526F9E" w:rsidR="00430C5E" w:rsidRDefault="00430C5E" w:rsidP="00245217">
      <w:pPr>
        <w:pStyle w:val="ListParagraph"/>
        <w:numPr>
          <w:ilvl w:val="0"/>
          <w:numId w:val="6"/>
        </w:numPr>
      </w:pPr>
      <w:r>
        <w:t>Increasing complexity and specificity of media production software and equipment</w:t>
      </w:r>
    </w:p>
    <w:p w14:paraId="216E5F80" w14:textId="77777777" w:rsidR="00430C5E" w:rsidRDefault="00430C5E" w:rsidP="00430C5E">
      <w:pPr>
        <w:pStyle w:val="ListParagraph"/>
      </w:pPr>
    </w:p>
    <w:p w14:paraId="1C61A836" w14:textId="77777777" w:rsidR="00545CDD" w:rsidRDefault="00545CDD" w:rsidP="00545CDD">
      <w:pPr>
        <w:pStyle w:val="Heading2"/>
      </w:pPr>
      <w:r>
        <w:t>“Cool Stuff:”</w:t>
      </w:r>
    </w:p>
    <w:p w14:paraId="697EDC3B" w14:textId="00A723A4" w:rsidR="00545CDD" w:rsidRDefault="00430C5E" w:rsidP="00430C5E">
      <w:r>
        <w:t>Everything we do is cool.</w:t>
      </w:r>
    </w:p>
    <w:p w14:paraId="099796C8" w14:textId="6ADB2D76" w:rsidR="006E43CD" w:rsidRDefault="00430C5E" w:rsidP="006E43CD">
      <w:r>
        <w:t xml:space="preserve">We are providing collections, equipment, and services that rival that of </w:t>
      </w:r>
      <w:proofErr w:type="spellStart"/>
      <w:r>
        <w:t>UVa</w:t>
      </w:r>
      <w:proofErr w:type="spellEnd"/>
      <w:r>
        <w:t xml:space="preserve"> and Virginia Tech, and with much less money, staff and space than those institutions.</w:t>
      </w:r>
    </w:p>
    <w:p w14:paraId="4CF6C305" w14:textId="4346FF0F" w:rsidR="00272C3D" w:rsidRDefault="00545CDD" w:rsidP="001B1703">
      <w:pPr>
        <w:pStyle w:val="Heading2"/>
      </w:pPr>
      <w:r>
        <w:t>Brief Statistical Data:</w:t>
      </w:r>
    </w:p>
    <w:p w14:paraId="15B3CB94" w14:textId="77777777" w:rsidR="001B1703" w:rsidRPr="001B1703" w:rsidRDefault="001B1703" w:rsidP="001B1703"/>
    <w:p w14:paraId="0E6598FB" w14:textId="27693468" w:rsidR="00272C3D" w:rsidRDefault="00272C3D">
      <w:r>
        <w:t xml:space="preserve">Debbie repaired </w:t>
      </w:r>
      <w:r w:rsidR="00E35845">
        <w:t>238</w:t>
      </w:r>
      <w:r>
        <w:t xml:space="preserve"> pieces of </w:t>
      </w:r>
      <w:r w:rsidR="00E35845">
        <w:t>broken equipment this year, a 30</w:t>
      </w:r>
      <w:r>
        <w:t>% increase over last year.</w:t>
      </w:r>
    </w:p>
    <w:p w14:paraId="2AF350F3" w14:textId="77777777" w:rsidR="00272C3D" w:rsidRDefault="00272C3D"/>
    <w:p w14:paraId="537535D8" w14:textId="7CDCA62A" w:rsidR="00272C3D" w:rsidRDefault="00272C3D">
      <w:r>
        <w:t xml:space="preserve">Debbie filled </w:t>
      </w:r>
      <w:r w:rsidR="00E35845">
        <w:t>630</w:t>
      </w:r>
      <w:r>
        <w:t xml:space="preserve"> equipment reservations, a </w:t>
      </w:r>
      <w:r w:rsidR="00E35845">
        <w:t>90</w:t>
      </w:r>
      <w:r>
        <w:t>% increase over last year.</w:t>
      </w:r>
    </w:p>
    <w:p w14:paraId="297ABE45" w14:textId="77777777" w:rsidR="00272C3D" w:rsidRDefault="00272C3D"/>
    <w:p w14:paraId="53C34693" w14:textId="51FAE1FB" w:rsidR="00272C3D" w:rsidRDefault="00C757A0">
      <w:r>
        <w:t xml:space="preserve">Media circulation decreased approximately </w:t>
      </w:r>
      <w:r w:rsidR="00F77A00">
        <w:t>7</w:t>
      </w:r>
      <w:r>
        <w:t xml:space="preserve">%, </w:t>
      </w:r>
      <w:r w:rsidR="00F77A00">
        <w:t xml:space="preserve">while we are unhappy with the </w:t>
      </w:r>
      <w:proofErr w:type="gramStart"/>
      <w:r w:rsidR="00F77A00">
        <w:t>decline,</w:t>
      </w:r>
      <w:proofErr w:type="gramEnd"/>
      <w:r w:rsidR="00F77A00">
        <w:t xml:space="preserve"> this is much less than the overall rate of 23% seen across all service points.</w:t>
      </w:r>
    </w:p>
    <w:p w14:paraId="4781DF7F" w14:textId="77777777" w:rsidR="00C757A0" w:rsidRDefault="00C757A0"/>
    <w:p w14:paraId="4623E398" w14:textId="77777777" w:rsidR="00272C3D" w:rsidRDefault="00272C3D" w:rsidP="00272C3D">
      <w:pPr>
        <w:pStyle w:val="Heading2"/>
      </w:pPr>
      <w:r w:rsidRPr="00272C3D">
        <w:t>Publications or presentations by members of unit</w:t>
      </w:r>
      <w:r>
        <w:t>:</w:t>
      </w:r>
    </w:p>
    <w:p w14:paraId="647B1DC6" w14:textId="77777777" w:rsidR="00E35845" w:rsidRDefault="00E35845">
      <w:pPr>
        <w:rPr>
          <w:bCs/>
          <w:iCs/>
        </w:rPr>
      </w:pPr>
    </w:p>
    <w:p w14:paraId="29B853CF" w14:textId="2C8FA9C0" w:rsidR="004B3FB9" w:rsidRDefault="00E35845">
      <w:r w:rsidRPr="00E35845">
        <w:rPr>
          <w:bCs/>
          <w:iCs/>
        </w:rPr>
        <w:t>Duncan, Cheryl J., and Erika Day Peterson.</w:t>
      </w:r>
      <w:r w:rsidRPr="00E35845">
        <w:rPr>
          <w:bCs/>
          <w:i/>
          <w:iCs/>
        </w:rPr>
        <w:t xml:space="preserve"> Creating a Streaming Video Collection for Your Library. </w:t>
      </w:r>
      <w:r w:rsidRPr="00E35845">
        <w:rPr>
          <w:bCs/>
          <w:iCs/>
        </w:rPr>
        <w:t xml:space="preserve">Lanham, MD: </w:t>
      </w:r>
      <w:proofErr w:type="spellStart"/>
      <w:r w:rsidRPr="00E35845">
        <w:rPr>
          <w:bCs/>
          <w:iCs/>
        </w:rPr>
        <w:t>Rowman</w:t>
      </w:r>
      <w:proofErr w:type="spellEnd"/>
      <w:r w:rsidRPr="00E35845">
        <w:rPr>
          <w:bCs/>
          <w:iCs/>
        </w:rPr>
        <w:t xml:space="preserve"> &amp; Littlefield, 2014</w:t>
      </w:r>
      <w:r w:rsidRPr="00E35845">
        <w:rPr>
          <w:bCs/>
          <w:i/>
          <w:iCs/>
        </w:rPr>
        <w:t>.</w:t>
      </w:r>
    </w:p>
    <w:sectPr w:rsidR="004B3FB9" w:rsidSect="000113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HGS明朝E">
    <w:panose1 w:val="00000000000000000000"/>
    <w:charset w:val="80"/>
    <w:family w:val="roman"/>
    <w:notTrueType/>
    <w:pitch w:val="default"/>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F56220"/>
    <w:multiLevelType w:val="hybridMultilevel"/>
    <w:tmpl w:val="68F60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0443D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DE7405B"/>
    <w:multiLevelType w:val="hybridMultilevel"/>
    <w:tmpl w:val="5F3C1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129DA"/>
    <w:multiLevelType w:val="hybridMultilevel"/>
    <w:tmpl w:val="2C448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52F47"/>
    <w:multiLevelType w:val="hybridMultilevel"/>
    <w:tmpl w:val="273C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A5F61"/>
    <w:multiLevelType w:val="hybridMultilevel"/>
    <w:tmpl w:val="00D8D30C"/>
    <w:lvl w:ilvl="0" w:tplc="8826AFAC">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20794"/>
    <w:multiLevelType w:val="hybridMultilevel"/>
    <w:tmpl w:val="AF1A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D4270B"/>
    <w:multiLevelType w:val="hybridMultilevel"/>
    <w:tmpl w:val="252E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03202D"/>
    <w:multiLevelType w:val="hybridMultilevel"/>
    <w:tmpl w:val="3C4E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AC3CC3"/>
    <w:multiLevelType w:val="hybridMultilevel"/>
    <w:tmpl w:val="1134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0"/>
  </w:num>
  <w:num w:numId="5">
    <w:abstractNumId w:val="7"/>
  </w:num>
  <w:num w:numId="6">
    <w:abstractNumId w:val="8"/>
  </w:num>
  <w:num w:numId="7">
    <w:abstractNumId w:val="3"/>
  </w:num>
  <w:num w:numId="8">
    <w:abstractNumId w:val="2"/>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FB9"/>
    <w:rsid w:val="000113FE"/>
    <w:rsid w:val="001B1703"/>
    <w:rsid w:val="00204AD4"/>
    <w:rsid w:val="002330F7"/>
    <w:rsid w:val="00245217"/>
    <w:rsid w:val="00272C3D"/>
    <w:rsid w:val="002737E9"/>
    <w:rsid w:val="00280450"/>
    <w:rsid w:val="00382700"/>
    <w:rsid w:val="00416CC6"/>
    <w:rsid w:val="00430C5E"/>
    <w:rsid w:val="0043705A"/>
    <w:rsid w:val="00441DB5"/>
    <w:rsid w:val="00481604"/>
    <w:rsid w:val="004B3FB9"/>
    <w:rsid w:val="004C2449"/>
    <w:rsid w:val="00545CDD"/>
    <w:rsid w:val="0067402C"/>
    <w:rsid w:val="006E43CD"/>
    <w:rsid w:val="0086512E"/>
    <w:rsid w:val="008C13FF"/>
    <w:rsid w:val="009A0220"/>
    <w:rsid w:val="00BE40D5"/>
    <w:rsid w:val="00C02AF5"/>
    <w:rsid w:val="00C36496"/>
    <w:rsid w:val="00C757A0"/>
    <w:rsid w:val="00D56AE4"/>
    <w:rsid w:val="00DE3591"/>
    <w:rsid w:val="00E35845"/>
    <w:rsid w:val="00F41943"/>
    <w:rsid w:val="00F77A00"/>
    <w:rsid w:val="00F84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D6E4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5CDD"/>
    <w:pPr>
      <w:keepNext/>
      <w:keepLines/>
      <w:spacing w:before="480"/>
      <w:outlineLvl w:val="0"/>
    </w:pPr>
    <w:rPr>
      <w:rFonts w:asciiTheme="majorHAnsi" w:eastAsiaTheme="majorEastAsia" w:hAnsiTheme="majorHAnsi" w:cstheme="majorBidi"/>
      <w:b/>
      <w:bCs/>
      <w:color w:val="3E5084" w:themeColor="accent1" w:themeShade="B5"/>
      <w:sz w:val="32"/>
      <w:szCs w:val="32"/>
    </w:rPr>
  </w:style>
  <w:style w:type="paragraph" w:styleId="Heading2">
    <w:name w:val="heading 2"/>
    <w:basedOn w:val="Normal"/>
    <w:next w:val="Normal"/>
    <w:link w:val="Heading2Char"/>
    <w:uiPriority w:val="9"/>
    <w:unhideWhenUsed/>
    <w:qFormat/>
    <w:rsid w:val="00545CDD"/>
    <w:pPr>
      <w:keepNext/>
      <w:keepLines/>
      <w:spacing w:before="20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04AD4"/>
    <w:pPr>
      <w:keepNext/>
      <w:keepLines/>
      <w:spacing w:before="200"/>
      <w:outlineLvl w:val="2"/>
    </w:pPr>
    <w:rPr>
      <w:rFonts w:asciiTheme="majorHAnsi" w:eastAsiaTheme="majorEastAsia" w:hAnsiTheme="majorHAnsi" w:cstheme="majorBidi"/>
      <w:b/>
      <w:bCs/>
      <w:color w:val="6076B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CDD"/>
    <w:rPr>
      <w:rFonts w:asciiTheme="majorHAnsi" w:eastAsiaTheme="majorEastAsia" w:hAnsiTheme="majorHAnsi" w:cstheme="majorBidi"/>
      <w:b/>
      <w:bCs/>
      <w:color w:val="3E5084" w:themeColor="accent1" w:themeShade="B5"/>
      <w:sz w:val="32"/>
      <w:szCs w:val="32"/>
    </w:rPr>
  </w:style>
  <w:style w:type="paragraph" w:styleId="Title">
    <w:name w:val="Title"/>
    <w:basedOn w:val="Normal"/>
    <w:next w:val="Normal"/>
    <w:link w:val="TitleChar"/>
    <w:uiPriority w:val="10"/>
    <w:qFormat/>
    <w:rsid w:val="00545CDD"/>
    <w:pPr>
      <w:pBdr>
        <w:bottom w:val="single" w:sz="8" w:space="4" w:color="6076B4" w:themeColor="accent1"/>
      </w:pBdr>
      <w:spacing w:after="300"/>
      <w:contextualSpacing/>
    </w:pPr>
    <w:rPr>
      <w:rFonts w:asciiTheme="majorHAnsi" w:eastAsiaTheme="majorEastAsia" w:hAnsiTheme="majorHAnsi" w:cstheme="majorBidi"/>
      <w:color w:val="234170" w:themeColor="text2" w:themeShade="BF"/>
      <w:spacing w:val="5"/>
      <w:kern w:val="28"/>
      <w:sz w:val="52"/>
      <w:szCs w:val="52"/>
    </w:rPr>
  </w:style>
  <w:style w:type="character" w:customStyle="1" w:styleId="TitleChar">
    <w:name w:val="Title Char"/>
    <w:basedOn w:val="DefaultParagraphFont"/>
    <w:link w:val="Title"/>
    <w:uiPriority w:val="10"/>
    <w:rsid w:val="00545CDD"/>
    <w:rPr>
      <w:rFonts w:asciiTheme="majorHAnsi" w:eastAsiaTheme="majorEastAsia" w:hAnsiTheme="majorHAnsi" w:cstheme="majorBidi"/>
      <w:color w:val="234170" w:themeColor="text2" w:themeShade="BF"/>
      <w:spacing w:val="5"/>
      <w:kern w:val="28"/>
      <w:sz w:val="52"/>
      <w:szCs w:val="52"/>
    </w:rPr>
  </w:style>
  <w:style w:type="character" w:customStyle="1" w:styleId="Heading2Char">
    <w:name w:val="Heading 2 Char"/>
    <w:basedOn w:val="DefaultParagraphFont"/>
    <w:link w:val="Heading2"/>
    <w:uiPriority w:val="9"/>
    <w:rsid w:val="00545CDD"/>
    <w:rPr>
      <w:rFonts w:asciiTheme="majorHAnsi" w:eastAsiaTheme="majorEastAsia" w:hAnsiTheme="majorHAnsi" w:cstheme="majorBidi"/>
      <w:b/>
      <w:bCs/>
      <w:color w:val="6076B4" w:themeColor="accent1"/>
      <w:sz w:val="26"/>
      <w:szCs w:val="26"/>
    </w:rPr>
  </w:style>
  <w:style w:type="character" w:customStyle="1" w:styleId="Heading3Char">
    <w:name w:val="Heading 3 Char"/>
    <w:basedOn w:val="DefaultParagraphFont"/>
    <w:link w:val="Heading3"/>
    <w:uiPriority w:val="9"/>
    <w:rsid w:val="00204AD4"/>
    <w:rPr>
      <w:rFonts w:asciiTheme="majorHAnsi" w:eastAsiaTheme="majorEastAsia" w:hAnsiTheme="majorHAnsi" w:cstheme="majorBidi"/>
      <w:b/>
      <w:bCs/>
      <w:color w:val="6076B4" w:themeColor="accent1"/>
    </w:rPr>
  </w:style>
  <w:style w:type="paragraph" w:styleId="ListParagraph">
    <w:name w:val="List Paragraph"/>
    <w:basedOn w:val="Normal"/>
    <w:uiPriority w:val="34"/>
    <w:qFormat/>
    <w:rsid w:val="00272C3D"/>
    <w:pPr>
      <w:ind w:left="720"/>
      <w:contextualSpacing/>
    </w:pPr>
  </w:style>
  <w:style w:type="character" w:styleId="Hyperlink">
    <w:name w:val="Hyperlink"/>
    <w:basedOn w:val="DefaultParagraphFont"/>
    <w:uiPriority w:val="99"/>
    <w:unhideWhenUsed/>
    <w:rsid w:val="00280450"/>
    <w:rPr>
      <w:color w:val="3399FF" w:themeColor="hyperlink"/>
      <w:u w:val="single"/>
    </w:rPr>
  </w:style>
  <w:style w:type="paragraph" w:styleId="Subtitle">
    <w:name w:val="Subtitle"/>
    <w:basedOn w:val="Normal"/>
    <w:next w:val="Normal"/>
    <w:link w:val="SubtitleChar"/>
    <w:uiPriority w:val="11"/>
    <w:qFormat/>
    <w:rsid w:val="00280450"/>
    <w:pPr>
      <w:numPr>
        <w:ilvl w:val="1"/>
      </w:numPr>
    </w:pPr>
    <w:rPr>
      <w:rFonts w:asciiTheme="majorHAnsi" w:eastAsiaTheme="majorEastAsia" w:hAnsiTheme="majorHAnsi" w:cstheme="majorBidi"/>
      <w:i/>
      <w:iCs/>
      <w:color w:val="6076B4" w:themeColor="accent1"/>
      <w:spacing w:val="15"/>
    </w:rPr>
  </w:style>
  <w:style w:type="character" w:customStyle="1" w:styleId="SubtitleChar">
    <w:name w:val="Subtitle Char"/>
    <w:basedOn w:val="DefaultParagraphFont"/>
    <w:link w:val="Subtitle"/>
    <w:uiPriority w:val="11"/>
    <w:rsid w:val="00280450"/>
    <w:rPr>
      <w:rFonts w:asciiTheme="majorHAnsi" w:eastAsiaTheme="majorEastAsia" w:hAnsiTheme="majorHAnsi" w:cstheme="majorBidi"/>
      <w:i/>
      <w:iCs/>
      <w:color w:val="6076B4"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5CDD"/>
    <w:pPr>
      <w:keepNext/>
      <w:keepLines/>
      <w:spacing w:before="480"/>
      <w:outlineLvl w:val="0"/>
    </w:pPr>
    <w:rPr>
      <w:rFonts w:asciiTheme="majorHAnsi" w:eastAsiaTheme="majorEastAsia" w:hAnsiTheme="majorHAnsi" w:cstheme="majorBidi"/>
      <w:b/>
      <w:bCs/>
      <w:color w:val="3E5084" w:themeColor="accent1" w:themeShade="B5"/>
      <w:sz w:val="32"/>
      <w:szCs w:val="32"/>
    </w:rPr>
  </w:style>
  <w:style w:type="paragraph" w:styleId="Heading2">
    <w:name w:val="heading 2"/>
    <w:basedOn w:val="Normal"/>
    <w:next w:val="Normal"/>
    <w:link w:val="Heading2Char"/>
    <w:uiPriority w:val="9"/>
    <w:unhideWhenUsed/>
    <w:qFormat/>
    <w:rsid w:val="00545CDD"/>
    <w:pPr>
      <w:keepNext/>
      <w:keepLines/>
      <w:spacing w:before="20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04AD4"/>
    <w:pPr>
      <w:keepNext/>
      <w:keepLines/>
      <w:spacing w:before="200"/>
      <w:outlineLvl w:val="2"/>
    </w:pPr>
    <w:rPr>
      <w:rFonts w:asciiTheme="majorHAnsi" w:eastAsiaTheme="majorEastAsia" w:hAnsiTheme="majorHAnsi" w:cstheme="majorBidi"/>
      <w:b/>
      <w:bCs/>
      <w:color w:val="6076B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CDD"/>
    <w:rPr>
      <w:rFonts w:asciiTheme="majorHAnsi" w:eastAsiaTheme="majorEastAsia" w:hAnsiTheme="majorHAnsi" w:cstheme="majorBidi"/>
      <w:b/>
      <w:bCs/>
      <w:color w:val="3E5084" w:themeColor="accent1" w:themeShade="B5"/>
      <w:sz w:val="32"/>
      <w:szCs w:val="32"/>
    </w:rPr>
  </w:style>
  <w:style w:type="paragraph" w:styleId="Title">
    <w:name w:val="Title"/>
    <w:basedOn w:val="Normal"/>
    <w:next w:val="Normal"/>
    <w:link w:val="TitleChar"/>
    <w:uiPriority w:val="10"/>
    <w:qFormat/>
    <w:rsid w:val="00545CDD"/>
    <w:pPr>
      <w:pBdr>
        <w:bottom w:val="single" w:sz="8" w:space="4" w:color="6076B4" w:themeColor="accent1"/>
      </w:pBdr>
      <w:spacing w:after="300"/>
      <w:contextualSpacing/>
    </w:pPr>
    <w:rPr>
      <w:rFonts w:asciiTheme="majorHAnsi" w:eastAsiaTheme="majorEastAsia" w:hAnsiTheme="majorHAnsi" w:cstheme="majorBidi"/>
      <w:color w:val="234170" w:themeColor="text2" w:themeShade="BF"/>
      <w:spacing w:val="5"/>
      <w:kern w:val="28"/>
      <w:sz w:val="52"/>
      <w:szCs w:val="52"/>
    </w:rPr>
  </w:style>
  <w:style w:type="character" w:customStyle="1" w:styleId="TitleChar">
    <w:name w:val="Title Char"/>
    <w:basedOn w:val="DefaultParagraphFont"/>
    <w:link w:val="Title"/>
    <w:uiPriority w:val="10"/>
    <w:rsid w:val="00545CDD"/>
    <w:rPr>
      <w:rFonts w:asciiTheme="majorHAnsi" w:eastAsiaTheme="majorEastAsia" w:hAnsiTheme="majorHAnsi" w:cstheme="majorBidi"/>
      <w:color w:val="234170" w:themeColor="text2" w:themeShade="BF"/>
      <w:spacing w:val="5"/>
      <w:kern w:val="28"/>
      <w:sz w:val="52"/>
      <w:szCs w:val="52"/>
    </w:rPr>
  </w:style>
  <w:style w:type="character" w:customStyle="1" w:styleId="Heading2Char">
    <w:name w:val="Heading 2 Char"/>
    <w:basedOn w:val="DefaultParagraphFont"/>
    <w:link w:val="Heading2"/>
    <w:uiPriority w:val="9"/>
    <w:rsid w:val="00545CDD"/>
    <w:rPr>
      <w:rFonts w:asciiTheme="majorHAnsi" w:eastAsiaTheme="majorEastAsia" w:hAnsiTheme="majorHAnsi" w:cstheme="majorBidi"/>
      <w:b/>
      <w:bCs/>
      <w:color w:val="6076B4" w:themeColor="accent1"/>
      <w:sz w:val="26"/>
      <w:szCs w:val="26"/>
    </w:rPr>
  </w:style>
  <w:style w:type="character" w:customStyle="1" w:styleId="Heading3Char">
    <w:name w:val="Heading 3 Char"/>
    <w:basedOn w:val="DefaultParagraphFont"/>
    <w:link w:val="Heading3"/>
    <w:uiPriority w:val="9"/>
    <w:rsid w:val="00204AD4"/>
    <w:rPr>
      <w:rFonts w:asciiTheme="majorHAnsi" w:eastAsiaTheme="majorEastAsia" w:hAnsiTheme="majorHAnsi" w:cstheme="majorBidi"/>
      <w:b/>
      <w:bCs/>
      <w:color w:val="6076B4" w:themeColor="accent1"/>
    </w:rPr>
  </w:style>
  <w:style w:type="paragraph" w:styleId="ListParagraph">
    <w:name w:val="List Paragraph"/>
    <w:basedOn w:val="Normal"/>
    <w:uiPriority w:val="34"/>
    <w:qFormat/>
    <w:rsid w:val="00272C3D"/>
    <w:pPr>
      <w:ind w:left="720"/>
      <w:contextualSpacing/>
    </w:pPr>
  </w:style>
  <w:style w:type="character" w:styleId="Hyperlink">
    <w:name w:val="Hyperlink"/>
    <w:basedOn w:val="DefaultParagraphFont"/>
    <w:uiPriority w:val="99"/>
    <w:unhideWhenUsed/>
    <w:rsid w:val="00280450"/>
    <w:rPr>
      <w:color w:val="3399FF" w:themeColor="hyperlink"/>
      <w:u w:val="single"/>
    </w:rPr>
  </w:style>
  <w:style w:type="paragraph" w:styleId="Subtitle">
    <w:name w:val="Subtitle"/>
    <w:basedOn w:val="Normal"/>
    <w:next w:val="Normal"/>
    <w:link w:val="SubtitleChar"/>
    <w:uiPriority w:val="11"/>
    <w:qFormat/>
    <w:rsid w:val="00280450"/>
    <w:pPr>
      <w:numPr>
        <w:ilvl w:val="1"/>
      </w:numPr>
    </w:pPr>
    <w:rPr>
      <w:rFonts w:asciiTheme="majorHAnsi" w:eastAsiaTheme="majorEastAsia" w:hAnsiTheme="majorHAnsi" w:cstheme="majorBidi"/>
      <w:i/>
      <w:iCs/>
      <w:color w:val="6076B4" w:themeColor="accent1"/>
      <w:spacing w:val="15"/>
    </w:rPr>
  </w:style>
  <w:style w:type="character" w:customStyle="1" w:styleId="SubtitleChar">
    <w:name w:val="Subtitle Char"/>
    <w:basedOn w:val="DefaultParagraphFont"/>
    <w:link w:val="Subtitle"/>
    <w:uiPriority w:val="11"/>
    <w:rsid w:val="00280450"/>
    <w:rPr>
      <w:rFonts w:asciiTheme="majorHAnsi" w:eastAsiaTheme="majorEastAsia" w:hAnsiTheme="majorHAnsi" w:cstheme="majorBidi"/>
      <w:i/>
      <w:iCs/>
      <w:color w:val="6076B4"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jmuedu.sharepoint.com/sites/hub/publicservices/media/Reports/MADLAB_first_year_report.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mu.edu/jmuplans/jmu-strategic-plan/index.shtml" TargetMode="External"/><Relationship Id="rId7" Type="http://schemas.openxmlformats.org/officeDocument/2006/relationships/hyperlink" Target="https://beinvolved.jmu.edu/organization/cinemuse" TargetMode="External"/><Relationship Id="rId8" Type="http://schemas.openxmlformats.org/officeDocument/2006/relationships/hyperlink" Target="https://www.youtube.com/watch?v=92mf_uBjrE0" TargetMode="External"/><Relationship Id="rId9" Type="http://schemas.openxmlformats.org/officeDocument/2006/relationships/hyperlink" Target="https://jmuedu.sharepoint.com/sites/hub/publicservices/media/Shared%20Documents/NJVID%20NABC.docx?d=w5252a11cbc01450cb1889842cbab21a7" TargetMode="External"/><Relationship Id="rId10" Type="http://schemas.openxmlformats.org/officeDocument/2006/relationships/hyperlink" Target="https://jmuedu.sharepoint.com/sites/hub/publicservices/media/Shared%20Documents/OVC%20Stats%20-%2012012012-12012013.xlsx?d=w0e72b41c2f8f482ea8971909479f552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1697</Words>
  <Characters>9674</Characters>
  <Application>Microsoft Macintosh Word</Application>
  <DocSecurity>0</DocSecurity>
  <Lines>80</Lines>
  <Paragraphs>22</Paragraphs>
  <ScaleCrop>false</ScaleCrop>
  <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Peterson</dc:creator>
  <cp:keywords/>
  <dc:description/>
  <cp:lastModifiedBy>Erika Peterson</cp:lastModifiedBy>
  <cp:revision>2</cp:revision>
  <dcterms:created xsi:type="dcterms:W3CDTF">2016-09-04T15:31:00Z</dcterms:created>
  <dcterms:modified xsi:type="dcterms:W3CDTF">2016-09-04T15:31:00Z</dcterms:modified>
</cp:coreProperties>
</file>